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5D5" w:rsidRPr="003F27BF" w:rsidRDefault="000235D5" w:rsidP="000235D5">
      <w:pPr>
        <w:jc w:val="center"/>
        <w:rPr>
          <w:rFonts w:cstheme="minorHAnsi"/>
          <w:b/>
          <w:sz w:val="28"/>
          <w:szCs w:val="28"/>
        </w:rPr>
      </w:pPr>
      <w:r w:rsidRPr="003F27BF">
        <w:rPr>
          <w:rFonts w:cstheme="minorHAnsi"/>
          <w:b/>
          <w:sz w:val="28"/>
          <w:szCs w:val="28"/>
        </w:rPr>
        <w:t>Carreiras e Quadro de Pessoal dos Serviços da Assembleia da República</w:t>
      </w:r>
    </w:p>
    <w:p w:rsidR="000235D5" w:rsidRPr="003F27BF" w:rsidRDefault="000235D5" w:rsidP="000235D5">
      <w:pPr>
        <w:jc w:val="both"/>
        <w:rPr>
          <w:rFonts w:cstheme="minorHAnsi"/>
        </w:rPr>
      </w:pPr>
    </w:p>
    <w:p w:rsidR="000235D5" w:rsidRPr="003F27BF" w:rsidRDefault="00D31F25" w:rsidP="000235D5">
      <w:pPr>
        <w:jc w:val="center"/>
        <w:rPr>
          <w:rFonts w:cstheme="minorHAnsi"/>
          <w:b/>
        </w:rPr>
      </w:pPr>
      <w:hyperlink r:id="rId6" w:history="1">
        <w:r w:rsidR="000235D5" w:rsidRPr="003F27BF">
          <w:rPr>
            <w:rStyle w:val="Hiperligao"/>
            <w:rFonts w:cstheme="minorHAnsi"/>
            <w:b/>
          </w:rPr>
          <w:t>Resolução da Assembleia da República n.º 39/96, de 27 de novembro</w:t>
        </w:r>
      </w:hyperlink>
      <w:r w:rsidR="000235D5" w:rsidRPr="003F27BF">
        <w:rPr>
          <w:rFonts w:cstheme="minorHAnsi"/>
          <w:b/>
        </w:rPr>
        <w:t xml:space="preserve"> (</w:t>
      </w:r>
      <w:hyperlink r:id="rId7" w:history="1">
        <w:r w:rsidR="000235D5" w:rsidRPr="003F27BF">
          <w:rPr>
            <w:rStyle w:val="Hiperligao"/>
            <w:rFonts w:cstheme="minorHAnsi"/>
            <w:b/>
          </w:rPr>
          <w:t>TP</w:t>
        </w:r>
      </w:hyperlink>
      <w:r w:rsidR="000235D5" w:rsidRPr="003F27BF">
        <w:rPr>
          <w:rFonts w:cstheme="minorHAnsi"/>
          <w:b/>
        </w:rPr>
        <w:t>),</w:t>
      </w:r>
    </w:p>
    <w:p w:rsidR="000235D5" w:rsidRPr="003F27BF" w:rsidRDefault="000235D5" w:rsidP="000235D5">
      <w:pPr>
        <w:jc w:val="center"/>
        <w:rPr>
          <w:rFonts w:cstheme="minorHAnsi"/>
          <w:b/>
        </w:rPr>
      </w:pPr>
      <w:r w:rsidRPr="003F27BF">
        <w:rPr>
          <w:rFonts w:cstheme="minorHAnsi"/>
          <w:b/>
        </w:rPr>
        <w:t xml:space="preserve">retificada pela </w:t>
      </w:r>
      <w:hyperlink r:id="rId8" w:history="1">
        <w:r w:rsidRPr="003F27BF">
          <w:rPr>
            <w:rStyle w:val="Hiperligao"/>
            <w:rFonts w:cstheme="minorHAnsi"/>
            <w:b/>
          </w:rPr>
          <w:t>Declaração de Retificação n.º 5/97, de 28 de janeiro</w:t>
        </w:r>
      </w:hyperlink>
      <w:r w:rsidRPr="003F27BF">
        <w:rPr>
          <w:rFonts w:cstheme="minorHAnsi"/>
          <w:b/>
        </w:rPr>
        <w:t>,</w:t>
      </w:r>
    </w:p>
    <w:p w:rsidR="000235D5" w:rsidRPr="003F27BF" w:rsidRDefault="000235D5" w:rsidP="000235D5">
      <w:pPr>
        <w:jc w:val="center"/>
        <w:rPr>
          <w:rFonts w:cstheme="minorHAnsi"/>
          <w:b/>
        </w:rPr>
      </w:pPr>
      <w:r w:rsidRPr="003F27BF">
        <w:rPr>
          <w:rFonts w:cstheme="minorHAnsi"/>
          <w:b/>
        </w:rPr>
        <w:t xml:space="preserve">e com as alterações introduzidas pela </w:t>
      </w:r>
    </w:p>
    <w:p w:rsidR="000235D5" w:rsidRPr="003F27BF" w:rsidRDefault="00D31F25" w:rsidP="000235D5">
      <w:pPr>
        <w:jc w:val="center"/>
        <w:rPr>
          <w:rFonts w:cstheme="minorHAnsi"/>
          <w:b/>
        </w:rPr>
      </w:pPr>
      <w:hyperlink r:id="rId9" w:history="1">
        <w:r w:rsidR="000235D5" w:rsidRPr="003F27BF">
          <w:rPr>
            <w:rStyle w:val="Hiperligao"/>
            <w:rFonts w:cstheme="minorHAnsi"/>
            <w:b/>
          </w:rPr>
          <w:t>Resolução da Assembleia da República n.º 8/98, de 18 de março</w:t>
        </w:r>
      </w:hyperlink>
      <w:r w:rsidR="000235D5" w:rsidRPr="003F27BF">
        <w:rPr>
          <w:rFonts w:cstheme="minorHAnsi"/>
          <w:b/>
        </w:rPr>
        <w:t xml:space="preserve"> (</w:t>
      </w:r>
      <w:hyperlink r:id="rId10" w:history="1">
        <w:r w:rsidR="000235D5" w:rsidRPr="003F27BF">
          <w:rPr>
            <w:rStyle w:val="Hiperligao"/>
            <w:rFonts w:cstheme="minorHAnsi"/>
            <w:b/>
          </w:rPr>
          <w:t>TP</w:t>
        </w:r>
      </w:hyperlink>
      <w:r w:rsidR="000235D5" w:rsidRPr="003F27BF">
        <w:rPr>
          <w:rFonts w:cstheme="minorHAnsi"/>
          <w:b/>
        </w:rPr>
        <w:t>),</w:t>
      </w:r>
    </w:p>
    <w:p w:rsidR="000235D5" w:rsidRPr="003F27BF" w:rsidRDefault="000235D5" w:rsidP="000235D5">
      <w:pPr>
        <w:jc w:val="center"/>
        <w:rPr>
          <w:rFonts w:cstheme="minorHAnsi"/>
          <w:b/>
        </w:rPr>
      </w:pPr>
      <w:r w:rsidRPr="003F27BF">
        <w:rPr>
          <w:rFonts w:cstheme="minorHAnsi"/>
          <w:b/>
        </w:rPr>
        <w:t>(</w:t>
      </w:r>
      <w:hyperlink r:id="rId11" w:history="1">
        <w:r w:rsidRPr="003F27BF">
          <w:rPr>
            <w:rStyle w:val="Hiperligao"/>
            <w:rFonts w:cstheme="minorHAnsi"/>
            <w:b/>
          </w:rPr>
          <w:t>Declaração de Retificação n.º 11/98, de 26 de junho</w:t>
        </w:r>
      </w:hyperlink>
      <w:r w:rsidRPr="003F27BF">
        <w:rPr>
          <w:rFonts w:cstheme="minorHAnsi"/>
          <w:b/>
        </w:rPr>
        <w:t>),</w:t>
      </w:r>
    </w:p>
    <w:p w:rsidR="000235D5" w:rsidRPr="003F27BF" w:rsidRDefault="00D31F25" w:rsidP="000235D5">
      <w:pPr>
        <w:jc w:val="center"/>
        <w:rPr>
          <w:rFonts w:cstheme="minorHAnsi"/>
          <w:b/>
        </w:rPr>
      </w:pPr>
      <w:hyperlink r:id="rId12" w:history="1">
        <w:r w:rsidR="000235D5" w:rsidRPr="003F27BF">
          <w:rPr>
            <w:rStyle w:val="Hiperligao"/>
            <w:rFonts w:cstheme="minorHAnsi"/>
            <w:b/>
          </w:rPr>
          <w:t>Resolução da Assembleia da República n.º 18/2001, de 8 de fevereiro</w:t>
        </w:r>
      </w:hyperlink>
      <w:r w:rsidR="000235D5" w:rsidRPr="003F27BF">
        <w:rPr>
          <w:rFonts w:cstheme="minorHAnsi"/>
          <w:b/>
        </w:rPr>
        <w:t xml:space="preserve"> (</w:t>
      </w:r>
      <w:hyperlink r:id="rId13" w:history="1">
        <w:r w:rsidR="000235D5" w:rsidRPr="003F27BF">
          <w:rPr>
            <w:rStyle w:val="Hiperligao"/>
            <w:rFonts w:cstheme="minorHAnsi"/>
            <w:b/>
          </w:rPr>
          <w:t>TP</w:t>
        </w:r>
      </w:hyperlink>
      <w:r w:rsidR="000235D5" w:rsidRPr="003F27BF">
        <w:rPr>
          <w:rFonts w:cstheme="minorHAnsi"/>
          <w:b/>
        </w:rPr>
        <w:t>),</w:t>
      </w:r>
    </w:p>
    <w:p w:rsidR="000235D5" w:rsidRPr="003F27BF" w:rsidRDefault="00D31F25" w:rsidP="000235D5">
      <w:pPr>
        <w:jc w:val="center"/>
        <w:rPr>
          <w:rFonts w:cstheme="minorHAnsi"/>
          <w:b/>
        </w:rPr>
      </w:pPr>
      <w:hyperlink r:id="rId14" w:history="1">
        <w:r w:rsidR="000235D5" w:rsidRPr="003F27BF">
          <w:rPr>
            <w:rStyle w:val="Hiperligao"/>
            <w:rFonts w:cstheme="minorHAnsi"/>
            <w:b/>
          </w:rPr>
          <w:t>Resolução da Assembleia da República n.º 59/2003, de 28 de julho</w:t>
        </w:r>
      </w:hyperlink>
      <w:r w:rsidR="000235D5" w:rsidRPr="003F27BF">
        <w:rPr>
          <w:rFonts w:cstheme="minorHAnsi"/>
          <w:b/>
        </w:rPr>
        <w:t xml:space="preserve"> (</w:t>
      </w:r>
      <w:hyperlink r:id="rId15" w:history="1">
        <w:r w:rsidR="000235D5" w:rsidRPr="003F27BF">
          <w:rPr>
            <w:rStyle w:val="Hiperligao"/>
            <w:rFonts w:cstheme="minorHAnsi"/>
            <w:b/>
          </w:rPr>
          <w:t>TP</w:t>
        </w:r>
      </w:hyperlink>
      <w:r w:rsidR="000235D5" w:rsidRPr="003F27BF">
        <w:rPr>
          <w:rFonts w:cstheme="minorHAnsi"/>
          <w:b/>
        </w:rPr>
        <w:t>),</w:t>
      </w:r>
    </w:p>
    <w:p w:rsidR="000235D5" w:rsidRPr="003F27BF" w:rsidRDefault="00D31F25" w:rsidP="000235D5">
      <w:pPr>
        <w:jc w:val="center"/>
        <w:rPr>
          <w:rFonts w:cstheme="minorHAnsi"/>
          <w:b/>
        </w:rPr>
      </w:pPr>
      <w:hyperlink r:id="rId16" w:history="1">
        <w:r w:rsidR="000235D5" w:rsidRPr="003F27BF">
          <w:rPr>
            <w:rStyle w:val="Hiperligao"/>
            <w:rFonts w:cstheme="minorHAnsi"/>
            <w:b/>
          </w:rPr>
          <w:t>Lei n.º 28/2003, de 30 de julho</w:t>
        </w:r>
      </w:hyperlink>
      <w:r w:rsidR="000235D5" w:rsidRPr="003F27BF">
        <w:rPr>
          <w:rFonts w:cstheme="minorHAnsi"/>
          <w:b/>
        </w:rPr>
        <w:t xml:space="preserve"> (</w:t>
      </w:r>
      <w:hyperlink r:id="rId17" w:history="1">
        <w:r w:rsidR="000235D5" w:rsidRPr="003F27BF">
          <w:rPr>
            <w:rStyle w:val="Hiperligao"/>
            <w:rFonts w:cstheme="minorHAnsi"/>
            <w:b/>
          </w:rPr>
          <w:t>TP</w:t>
        </w:r>
      </w:hyperlink>
      <w:r w:rsidR="000235D5" w:rsidRPr="003F27BF">
        <w:rPr>
          <w:rFonts w:cstheme="minorHAnsi"/>
          <w:b/>
        </w:rPr>
        <w:t>),</w:t>
      </w:r>
    </w:p>
    <w:p w:rsidR="000235D5" w:rsidRPr="003F27BF" w:rsidRDefault="000235D5" w:rsidP="000235D5">
      <w:pPr>
        <w:jc w:val="center"/>
        <w:rPr>
          <w:rFonts w:cstheme="minorHAnsi"/>
          <w:b/>
        </w:rPr>
      </w:pPr>
      <w:r w:rsidRPr="003F27BF">
        <w:rPr>
          <w:rFonts w:cstheme="minorHAnsi"/>
          <w:b/>
        </w:rPr>
        <w:t xml:space="preserve">e </w:t>
      </w:r>
      <w:hyperlink r:id="rId18" w:history="1">
        <w:r w:rsidRPr="003F27BF">
          <w:rPr>
            <w:rStyle w:val="Hiperligao"/>
            <w:rFonts w:cstheme="minorHAnsi"/>
            <w:b/>
          </w:rPr>
          <w:t>Resolução da Assembleia da República n.º 20/2004, de 29 de janeiro</w:t>
        </w:r>
      </w:hyperlink>
      <w:r w:rsidRPr="003F27BF">
        <w:rPr>
          <w:rFonts w:cstheme="minorHAnsi"/>
          <w:b/>
        </w:rPr>
        <w:t xml:space="preserve"> (</w:t>
      </w:r>
      <w:hyperlink r:id="rId19" w:history="1">
        <w:r w:rsidRPr="003F27BF">
          <w:rPr>
            <w:rStyle w:val="Hiperligao"/>
            <w:rFonts w:cstheme="minorHAnsi"/>
            <w:b/>
          </w:rPr>
          <w:t>TP</w:t>
        </w:r>
      </w:hyperlink>
      <w:r w:rsidRPr="003F27BF">
        <w:rPr>
          <w:rFonts w:cstheme="minorHAnsi"/>
          <w:b/>
        </w:rPr>
        <w:t>)</w:t>
      </w:r>
    </w:p>
    <w:p w:rsidR="000235D5" w:rsidRPr="003F27BF" w:rsidRDefault="000235D5" w:rsidP="000235D5">
      <w:pPr>
        <w:jc w:val="both"/>
        <w:rPr>
          <w:rFonts w:cstheme="minorHAnsi"/>
        </w:rPr>
      </w:pP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A Assembleia da República, nos termos do artigo 169.º, n.º 5, da Constituição da República, e dos artigos 46.º, n.º 2, 47.º, 48.º, n.º 3, e 49.º da Lei n.º 77/88, de 1 de julho, na redação dada pela Lei n.º 59/93, de 17 de agosto, e ainda no cumprimento do disposto no artigo 18.º da mesma Lei n.º 59/93, sob proposta do Conselho de Administração, resolve, em matéria de carreiras e de quadro de pessoal, o seguinte:</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1.º</w:t>
      </w:r>
    </w:p>
    <w:p w:rsidR="000235D5" w:rsidRPr="003F27BF" w:rsidRDefault="000235D5" w:rsidP="000235D5">
      <w:pPr>
        <w:jc w:val="center"/>
        <w:rPr>
          <w:rFonts w:cstheme="minorHAnsi"/>
          <w:b/>
        </w:rPr>
      </w:pPr>
      <w:r w:rsidRPr="003F27BF">
        <w:rPr>
          <w:rFonts w:cstheme="minorHAnsi"/>
          <w:b/>
        </w:rPr>
        <w:t>Carreiras</w:t>
      </w:r>
    </w:p>
    <w:p w:rsidR="000235D5" w:rsidRPr="003F27BF" w:rsidRDefault="000235D5" w:rsidP="000235D5">
      <w:pPr>
        <w:jc w:val="both"/>
        <w:rPr>
          <w:rFonts w:cstheme="minorHAnsi"/>
        </w:rPr>
      </w:pPr>
      <w:r w:rsidRPr="003F27BF">
        <w:rPr>
          <w:rFonts w:cstheme="minorHAnsi"/>
        </w:rPr>
        <w:t>1 - As carreiras do pessoal da Assembleia da República são carreiras de regime especial.</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As escalas salariais de cada uma das carreiras e categorias objeto desta resolução constam do mapa I em anexo.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3 - A área de recrutamento de cada uma das carreiras especiais da Assembleia da República a que se refere o n.º 2 consta do mapa II anexo à presente resolução.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4 - Os requisitos gerais de ingresso para a generalidade das carreiras da Assembleia da República são os seguintes:</w:t>
      </w:r>
    </w:p>
    <w:p w:rsidR="000235D5" w:rsidRPr="003F27BF" w:rsidRDefault="000235D5" w:rsidP="000235D5">
      <w:pPr>
        <w:ind w:left="708"/>
        <w:jc w:val="both"/>
        <w:rPr>
          <w:rFonts w:cstheme="minorHAnsi"/>
        </w:rPr>
      </w:pPr>
      <w:proofErr w:type="gramStart"/>
      <w:r w:rsidRPr="003F27BF">
        <w:rPr>
          <w:rFonts w:cstheme="minorHAnsi"/>
          <w:i/>
        </w:rPr>
        <w:t>a)</w:t>
      </w:r>
      <w:r w:rsidRPr="003F27BF">
        <w:rPr>
          <w:rFonts w:cstheme="minorHAnsi"/>
        </w:rPr>
        <w:t xml:space="preserve"> Ter</w:t>
      </w:r>
      <w:proofErr w:type="gramEnd"/>
      <w:r w:rsidRPr="003F27BF">
        <w:rPr>
          <w:rFonts w:cstheme="minorHAnsi"/>
        </w:rPr>
        <w:t xml:space="preserve"> nacionalidade portuguesa;</w:t>
      </w:r>
    </w:p>
    <w:p w:rsidR="000235D5" w:rsidRPr="003F27BF" w:rsidRDefault="000235D5" w:rsidP="000235D5">
      <w:pPr>
        <w:ind w:left="708"/>
        <w:jc w:val="both"/>
        <w:rPr>
          <w:rFonts w:cstheme="minorHAnsi"/>
        </w:rPr>
      </w:pPr>
      <w:proofErr w:type="gramStart"/>
      <w:r w:rsidRPr="003F27BF">
        <w:rPr>
          <w:rFonts w:cstheme="minorHAnsi"/>
          <w:i/>
        </w:rPr>
        <w:t>b)</w:t>
      </w:r>
      <w:r w:rsidRPr="003F27BF">
        <w:rPr>
          <w:rFonts w:cstheme="minorHAnsi"/>
        </w:rPr>
        <w:t xml:space="preserve"> Ter</w:t>
      </w:r>
      <w:proofErr w:type="gramEnd"/>
      <w:r w:rsidRPr="003F27BF">
        <w:rPr>
          <w:rFonts w:cstheme="minorHAnsi"/>
        </w:rPr>
        <w:t xml:space="preserve"> 18 anos completos;</w:t>
      </w:r>
    </w:p>
    <w:p w:rsidR="000235D5" w:rsidRPr="003F27BF" w:rsidRDefault="000235D5" w:rsidP="000235D5">
      <w:pPr>
        <w:ind w:left="708"/>
        <w:jc w:val="both"/>
        <w:rPr>
          <w:rFonts w:cstheme="minorHAnsi"/>
        </w:rPr>
      </w:pPr>
      <w:proofErr w:type="gramStart"/>
      <w:r w:rsidRPr="003F27BF">
        <w:rPr>
          <w:rFonts w:cstheme="minorHAnsi"/>
          <w:i/>
        </w:rPr>
        <w:t>c)</w:t>
      </w:r>
      <w:r w:rsidRPr="003F27BF">
        <w:rPr>
          <w:rFonts w:cstheme="minorHAnsi"/>
        </w:rPr>
        <w:t xml:space="preserve"> Possuir</w:t>
      </w:r>
      <w:proofErr w:type="gramEnd"/>
      <w:r w:rsidRPr="003F27BF">
        <w:rPr>
          <w:rFonts w:cstheme="minorHAnsi"/>
        </w:rPr>
        <w:t xml:space="preserve"> as habilitações literárias e profissionais legalmente exigidas para o desempenho do cargo;</w:t>
      </w:r>
    </w:p>
    <w:p w:rsidR="000235D5" w:rsidRPr="003F27BF" w:rsidRDefault="000235D5" w:rsidP="000235D5">
      <w:pPr>
        <w:ind w:left="708"/>
        <w:jc w:val="both"/>
        <w:rPr>
          <w:rFonts w:cstheme="minorHAnsi"/>
        </w:rPr>
      </w:pPr>
      <w:proofErr w:type="gramStart"/>
      <w:r w:rsidRPr="003F27BF">
        <w:rPr>
          <w:rFonts w:cstheme="minorHAnsi"/>
          <w:i/>
        </w:rPr>
        <w:t>d)</w:t>
      </w:r>
      <w:r w:rsidRPr="003F27BF">
        <w:rPr>
          <w:rFonts w:cstheme="minorHAnsi"/>
        </w:rPr>
        <w:t xml:space="preserve"> Ter</w:t>
      </w:r>
      <w:proofErr w:type="gramEnd"/>
      <w:r w:rsidRPr="003F27BF">
        <w:rPr>
          <w:rFonts w:cstheme="minorHAnsi"/>
        </w:rPr>
        <w:t xml:space="preserve"> cumprido os deveres militares ou de serviço cívico, quando obrigatório;</w:t>
      </w:r>
    </w:p>
    <w:p w:rsidR="000235D5" w:rsidRPr="003F27BF" w:rsidRDefault="000235D5" w:rsidP="000235D5">
      <w:pPr>
        <w:ind w:left="708"/>
        <w:jc w:val="both"/>
        <w:rPr>
          <w:rFonts w:cstheme="minorHAnsi"/>
        </w:rPr>
      </w:pPr>
      <w:r w:rsidRPr="003F27BF">
        <w:rPr>
          <w:rFonts w:cstheme="minorHAnsi"/>
          <w:i/>
        </w:rPr>
        <w:t>e)</w:t>
      </w:r>
      <w:r w:rsidRPr="003F27BF">
        <w:rPr>
          <w:rFonts w:cstheme="minorHAnsi"/>
        </w:rPr>
        <w:t xml:space="preserve"> Não estar inibido do exercício de funções públicas ou interdito para o exercício das funções a que se candidata;</w:t>
      </w:r>
    </w:p>
    <w:p w:rsidR="000235D5" w:rsidRPr="003F27BF" w:rsidRDefault="000235D5" w:rsidP="000235D5">
      <w:pPr>
        <w:ind w:left="708"/>
        <w:jc w:val="both"/>
        <w:rPr>
          <w:rFonts w:cstheme="minorHAnsi"/>
        </w:rPr>
      </w:pPr>
      <w:proofErr w:type="gramStart"/>
      <w:r w:rsidRPr="003F27BF">
        <w:rPr>
          <w:rFonts w:cstheme="minorHAnsi"/>
          <w:i/>
        </w:rPr>
        <w:t>f)</w:t>
      </w:r>
      <w:r w:rsidRPr="003F27BF">
        <w:rPr>
          <w:rFonts w:cstheme="minorHAnsi"/>
        </w:rPr>
        <w:t xml:space="preserve"> Possuir</w:t>
      </w:r>
      <w:proofErr w:type="gramEnd"/>
      <w:r w:rsidRPr="003F27BF">
        <w:rPr>
          <w:rFonts w:cstheme="minorHAnsi"/>
        </w:rPr>
        <w:t xml:space="preserve"> a robustez física e o perfil psíquico indispensáveis ao exercício da função e ter cumprido as leis de vacinação obrigatória.</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5 - Caso os candidatos aos concursos de ingresso nas carreiras previstas no n.º 2 possuam habilitações académicas superiores às exigidas nesta resolução para cada uma das respetivas carreiras, tal fator não poderá, em si mesmo, relevar para a respetiva graduação no concurso nem ser invocável como fundamento de recurso da classificação final.</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lastRenderedPageBreak/>
        <w:t>Artigo 2.º</w:t>
      </w:r>
    </w:p>
    <w:p w:rsidR="000235D5" w:rsidRPr="003F27BF" w:rsidRDefault="000235D5" w:rsidP="000235D5">
      <w:pPr>
        <w:jc w:val="center"/>
        <w:rPr>
          <w:rFonts w:cstheme="minorHAnsi"/>
          <w:b/>
        </w:rPr>
      </w:pPr>
      <w:r w:rsidRPr="003F27BF">
        <w:rPr>
          <w:rFonts w:cstheme="minorHAnsi"/>
          <w:b/>
        </w:rPr>
        <w:t>Criação da carreira de técnico-adjunto parlamentar</w:t>
      </w:r>
    </w:p>
    <w:p w:rsidR="000235D5" w:rsidRPr="003F27BF" w:rsidRDefault="000235D5" w:rsidP="000235D5">
      <w:pPr>
        <w:jc w:val="both"/>
        <w:rPr>
          <w:rFonts w:cstheme="minorHAnsi"/>
        </w:rPr>
      </w:pPr>
      <w:r w:rsidRPr="003F27BF">
        <w:rPr>
          <w:rFonts w:cstheme="minorHAnsi"/>
        </w:rPr>
        <w:t xml:space="preserve">1 - É criada no grupo de pessoal técnico-profissional, nível 4, a carreira de técnico-adjunto parlamentar.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2 - São extintas as carreiras de tradutor-intérprete, de técnico-adjunto de relações públicas, de técnico-adjunto de gestão, de técnico-adjunto de secretariado, de técnico-adjunto de apoio parlamentar e de técnico-adjunto de secretariado internacional.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3 - O pessoal do quadro da Assembleia da República que, à data da entrada em vigor da presente resolução, se encontre provido nas categorias integradas nas carreiras referidas no n.º 2 transita para a mesma categoria e escalão da carreira de técnico-adjunto parlamentar, relevando para efeitos de progressão o tempo já prestado nesse escalão.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4 - São extintas as carreiras de técnico auxiliar de gestão, de técnico auxiliar de apoio parlamentar, de técnico auxiliar de relações públicas e de técnico auxiliar de documentação, secretariado e informação.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5 - O pessoal do quadro da Assembleia da República que, à data da entrada em vigor da presente resolução, se encontre provido nas categorias integradas nas carreiras referidas no n.º 4 e que detenha ou a habilitação legal ou a habilitação suficiente, em conformidade com o anexo IV da Lei n.º 77/88, de 1 de julho, transita para a carreira de técnico-adjunto parlamentar, de acordo com as regras constantes do mapa III anexo a esta resolução.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6 - O pessoal que, estando nas condições previstas na primeira parte do n.º 5, não preencha os requisitos exigidos na segunda parte do mesmo número será integrado na carreira de técnico-adjunto parlamentar, na categoria de técnico-adjunto de 2.ª classe, em índice igual ou, em caso de inexistência, no imediatamente seguinte ao índice que detenha na carreira técnica auxiliar.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7 - Aos técnicos auxiliares transitados de acordo com o n.º 6 é garantida a progressão na categoria, nos termos genericamente definidos para as carreiras verticais, não podendo ser opositores a concurso de acesso na carreira, salvo se vierem a adquirir a habilitação legal correspondente.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8 - Para efeitos do disposto no n.º 7, a escala salarial da categoria de técnico-adjunto de 2.ª classe integrará os 6.º, 7.º e 8.º escalões, aos quais correspondem os índices 270, 285 e 300, que serão extintos à medida em que na categoria vagarem os lugares dos funcionários transitados de acordo com a regra do n.º 6.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9 - Nos casos em que, das transições referidas nos n.ºs 5 e 6, a integração na nova categoria se processe em índice igual ao anteriormente detido, o tempo de serviço prestado no escalão de origem releva para efeitos de progressão.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10 - Quando, nas situações referidas nos n.ºs 5 e 6, da integração resulte aumento de índice, a contagem de tempo de serviço no escalão inicia-se, para todos os efeitos, designadamente para progressão, com o momento de transição. </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11 - O conteúdo funcional da carreira de técnico-adjunto parlamentar consta do mapa V anexo à presente resolução. </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3.º</w:t>
      </w:r>
    </w:p>
    <w:p w:rsidR="000235D5" w:rsidRPr="003F27BF" w:rsidRDefault="000235D5" w:rsidP="000235D5">
      <w:pPr>
        <w:jc w:val="center"/>
        <w:rPr>
          <w:rFonts w:cstheme="minorHAnsi"/>
          <w:b/>
        </w:rPr>
      </w:pPr>
      <w:r w:rsidRPr="003F27BF">
        <w:rPr>
          <w:rFonts w:cstheme="minorHAnsi"/>
          <w:b/>
        </w:rPr>
        <w:t>Carreira de operador de meios audiovisuais</w:t>
      </w:r>
    </w:p>
    <w:p w:rsidR="000235D5" w:rsidRPr="003F27BF" w:rsidRDefault="000235D5" w:rsidP="000235D5">
      <w:pPr>
        <w:jc w:val="both"/>
        <w:rPr>
          <w:rFonts w:cstheme="minorHAnsi"/>
        </w:rPr>
      </w:pPr>
      <w:r w:rsidRPr="003F27BF">
        <w:rPr>
          <w:rFonts w:cstheme="minorHAnsi"/>
        </w:rPr>
        <w:t>1 - A carreira de operador de meios audiovisuais é integrada no grupo de pessoal técnico-profissional, nível 4, desenvolvendo-se pelas categorias e índices salariais constantes do mapa I anexo à presente resolução.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A transição do pessoal integrado na carreira de operador de meios audiovisuais faz-se de acordo com o disposto no mapa IV anexo à presente resolução.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3 - Nos casos em que das transições referidas nos números anteriores a integração na nova categoria se processe em índice igual ao anteriormente detido, o tempo de serviço prestado no escalão de origem releva para progressão.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4 - Nas situações em que, da integração, resulte aumento de índice, a contagem de tempo de serviço no escalão inicia-se, para todos os efeitos, designadamente para progressão, com o momento da transição.</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4.º</w:t>
      </w:r>
    </w:p>
    <w:p w:rsidR="000235D5" w:rsidRPr="003F27BF" w:rsidRDefault="000235D5" w:rsidP="000235D5">
      <w:pPr>
        <w:jc w:val="center"/>
        <w:rPr>
          <w:rFonts w:cstheme="minorHAnsi"/>
          <w:b/>
        </w:rPr>
      </w:pPr>
      <w:r w:rsidRPr="003F27BF">
        <w:rPr>
          <w:rFonts w:cstheme="minorHAnsi"/>
          <w:b/>
        </w:rPr>
        <w:t>Criação da carreira de secretário parlamentar</w:t>
      </w:r>
    </w:p>
    <w:p w:rsidR="000235D5" w:rsidRPr="003F27BF" w:rsidRDefault="000235D5" w:rsidP="000235D5">
      <w:pPr>
        <w:jc w:val="both"/>
        <w:rPr>
          <w:rFonts w:cstheme="minorHAnsi"/>
        </w:rPr>
      </w:pPr>
      <w:r w:rsidRPr="003F27BF">
        <w:rPr>
          <w:rFonts w:cstheme="minorHAnsi"/>
        </w:rPr>
        <w:t>1 - É criada no grupo de pessoal administrativo a carreira de secretário parlamentar, a qual se desenvolve pelas categorias e índices salariais constantes do mapa I anexo à presente resolução.</w:t>
      </w:r>
      <w:r w:rsidRPr="003F27BF">
        <w:rPr>
          <w:rFonts w:cstheme="minorHAnsi"/>
          <w:vertAlign w:val="superscript"/>
        </w:rPr>
        <w:t>3</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São extintas as carreiras de secretário administrativo, secretário de apoio parlamentar, secretário de relações públicas e secretário de documentação e informação.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3 - O pessoal do quadro da Assembleia da República que, à data da entrada em vigor desta resolução, se encontre provido em lugares das carreiras referidas no n.º 2 transita para a mesma categoria e escalão da carreira de secretário parlamentar, relevando para efeitos de progressão o tempo já prestado nesse escalão.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4 - O conteúdo funcional da carreira de secretário parlamentar consta do mapa V anexo à presente resolução.</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5.º</w:t>
      </w:r>
    </w:p>
    <w:p w:rsidR="000235D5" w:rsidRPr="003F27BF" w:rsidRDefault="000235D5" w:rsidP="000235D5">
      <w:pPr>
        <w:jc w:val="center"/>
        <w:rPr>
          <w:rFonts w:cstheme="minorHAnsi"/>
          <w:b/>
        </w:rPr>
      </w:pPr>
      <w:r w:rsidRPr="003F27BF">
        <w:rPr>
          <w:rFonts w:cstheme="minorHAnsi"/>
          <w:b/>
        </w:rPr>
        <w:t>Criação de cargos de encarregado</w:t>
      </w:r>
    </w:p>
    <w:p w:rsidR="000235D5" w:rsidRPr="003F27BF" w:rsidRDefault="000235D5" w:rsidP="000235D5">
      <w:pPr>
        <w:jc w:val="both"/>
        <w:rPr>
          <w:rFonts w:cstheme="minorHAnsi"/>
        </w:rPr>
      </w:pPr>
      <w:r w:rsidRPr="003F27BF">
        <w:rPr>
          <w:rFonts w:cstheme="minorHAnsi"/>
        </w:rPr>
        <w:t>1 - São criados os cargos de encarregado do pessoal auxiliar, de encarregado do parque automóvel, de encarregado do parque reprográfico e de zelador, a nomear em comissão de serviço pelo período de três anos, prorrogáveis, de entre funcionários do quadro da Assembleia da República do grupo de pessoal auxiliar.</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As nomeações são feitas pelo secretário-geral, obtido o parecer favorável do Conselho de Administração.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3 - O encarregado do pessoal auxiliar será designado de entre funcionários das carreiras de auxiliar parlamentar ou de auxiliar de biblioteca.</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4 - O encarregado do parque automóvel será designado de entre funcionários da carreira de motorista.</w:t>
      </w:r>
    </w:p>
    <w:p w:rsidR="000235D5" w:rsidRPr="003F27BF" w:rsidRDefault="000235D5" w:rsidP="000235D5">
      <w:pPr>
        <w:jc w:val="both"/>
        <w:rPr>
          <w:rFonts w:cstheme="minorHAnsi"/>
        </w:rPr>
      </w:pPr>
      <w:r w:rsidRPr="003F27BF">
        <w:rPr>
          <w:rFonts w:cstheme="minorHAnsi"/>
        </w:rPr>
        <w:t xml:space="preserve">5 - O encarregado do parque reprográfico será designado de entre funcionários das carreiras de operador de reprografia ou de operador de </w:t>
      </w:r>
      <w:r w:rsidRPr="003F27BF">
        <w:rPr>
          <w:rFonts w:cstheme="minorHAnsi"/>
          <w:i/>
        </w:rPr>
        <w:t>offset</w:t>
      </w:r>
      <w:r w:rsidRPr="003F27BF">
        <w:rPr>
          <w:rFonts w:cstheme="minorHAnsi"/>
        </w:rPr>
        <w:t>.</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6 - O zelador será designado de entre funcionários das carreiras de auxiliar parlamentar ou de auxiliar de biblioteca.</w:t>
      </w:r>
    </w:p>
    <w:p w:rsidR="000235D5" w:rsidRPr="003F27BF" w:rsidRDefault="000235D5" w:rsidP="000235D5">
      <w:pPr>
        <w:jc w:val="both"/>
        <w:rPr>
          <w:rFonts w:cstheme="minorHAnsi"/>
        </w:rPr>
      </w:pPr>
    </w:p>
    <w:p w:rsidR="000235D5" w:rsidRPr="003F27BF" w:rsidRDefault="000235D5" w:rsidP="000235D5">
      <w:pPr>
        <w:jc w:val="both"/>
        <w:rPr>
          <w:rFonts w:cstheme="minorHAnsi"/>
          <w:i/>
        </w:rPr>
      </w:pPr>
      <w:r w:rsidRPr="003F27BF">
        <w:rPr>
          <w:rFonts w:cstheme="minorHAnsi"/>
        </w:rPr>
        <w:t>7 - A remuneração a considerar para efeitos de cálculo dos abonos devidos ao encarregado e ao zelador será a do índice da categoria e escalão que lhes correspondam nas respetivas carreiras, acrescida de 20 pontos, do índice 100 da tabela salarial</w:t>
      </w:r>
      <w:r w:rsidRPr="003F27BF">
        <w:rPr>
          <w:rFonts w:cstheme="minorHAnsi"/>
          <w:i/>
        </w:rPr>
        <w:t>.</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8 - É extinto o cargo de coordenador do pessoal auxiliar.</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9 - Os conteúdos funcionais dos cargos criados no n.º 1 constam do mapa V anexo à presente resolução.</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6.º</w:t>
      </w:r>
    </w:p>
    <w:p w:rsidR="000235D5" w:rsidRPr="003F27BF" w:rsidRDefault="000235D5" w:rsidP="000235D5">
      <w:pPr>
        <w:jc w:val="center"/>
        <w:rPr>
          <w:rFonts w:cstheme="minorHAnsi"/>
          <w:b/>
        </w:rPr>
      </w:pPr>
      <w:r w:rsidRPr="003F27BF">
        <w:rPr>
          <w:rFonts w:cstheme="minorHAnsi"/>
          <w:b/>
        </w:rPr>
        <w:t>Criação da carreira de auxiliar parlamentar</w:t>
      </w:r>
    </w:p>
    <w:p w:rsidR="000235D5" w:rsidRPr="003F27BF" w:rsidRDefault="000235D5" w:rsidP="000235D5">
      <w:pPr>
        <w:jc w:val="both"/>
        <w:rPr>
          <w:rFonts w:cstheme="minorHAnsi"/>
        </w:rPr>
      </w:pPr>
      <w:r w:rsidRPr="003F27BF">
        <w:rPr>
          <w:rFonts w:cstheme="minorHAnsi"/>
        </w:rPr>
        <w:t>1 - É criada no grupo de pessoal auxiliar a carreira de auxiliar parlamentar.</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São extintas as carreiras de auxiliar administrativo, de auxiliar de sala e de encarregado de portaria.</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3 - O pessoal do quadro da Assembleia da República que à data da entrada em vigor da presente resolução se encontre provido nas carreiras referidas no n.º 2 transita para a carreira de auxiliar parlamentar, sendo integrado em escalão a que corresponda, na estrutura da nova carreira, índice igual ao que detém ou, se não houver coincidência, em escalão a que corresponda o índice imediatamente superior.</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4 - O pessoal referido no n.º 3 que detenha 10 ou mais anos na carreira transita para o escalão 4 da respetiva carreira, salvo transição mais favorável que decorra das regras do n.º 1.</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5 - Nas situações referidas </w:t>
      </w:r>
      <w:proofErr w:type="gramStart"/>
      <w:r w:rsidRPr="003F27BF">
        <w:rPr>
          <w:rFonts w:cstheme="minorHAnsi"/>
        </w:rPr>
        <w:t>nos n.º</w:t>
      </w:r>
      <w:proofErr w:type="gramEnd"/>
      <w:r w:rsidRPr="003F27BF">
        <w:rPr>
          <w:rFonts w:cstheme="minorHAnsi"/>
        </w:rPr>
        <w:t xml:space="preserve"> 3 e 4, em que a integração ocorra no mesmo índice, o tempo de serviço prestado no escalão de origem releva para progressão.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6 - Nos casos em que da aplicação das regras </w:t>
      </w:r>
      <w:proofErr w:type="gramStart"/>
      <w:r w:rsidRPr="003F27BF">
        <w:rPr>
          <w:rFonts w:cstheme="minorHAnsi"/>
        </w:rPr>
        <w:t>dos n.º</w:t>
      </w:r>
      <w:proofErr w:type="gramEnd"/>
      <w:r w:rsidRPr="003F27BF">
        <w:rPr>
          <w:rFonts w:cstheme="minorHAnsi"/>
        </w:rPr>
        <w:t xml:space="preserve"> 3 e 4 a integração determine aumento de índice, a contagem de tempo de serviço ao escalão inicia-se, para todos os efeitos, designadamente para progressão, com o momento da transição.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7 - O conteúdo funcional da carreira de auxiliar parlamentar consta do mapa V anexo à presente resolução.</w:t>
      </w:r>
    </w:p>
    <w:p w:rsidR="00D31F25" w:rsidRDefault="00D31F25" w:rsidP="000235D5">
      <w:pPr>
        <w:jc w:val="center"/>
        <w:rPr>
          <w:rFonts w:cstheme="minorHAnsi"/>
          <w:b/>
        </w:rPr>
      </w:pPr>
    </w:p>
    <w:p w:rsidR="000235D5" w:rsidRPr="003F27BF" w:rsidRDefault="000235D5" w:rsidP="000235D5">
      <w:pPr>
        <w:jc w:val="center"/>
        <w:rPr>
          <w:rFonts w:cstheme="minorHAnsi"/>
          <w:b/>
        </w:rPr>
      </w:pPr>
      <w:r w:rsidRPr="003F27BF">
        <w:rPr>
          <w:rFonts w:cstheme="minorHAnsi"/>
          <w:b/>
        </w:rPr>
        <w:t>Artigo 7.º</w:t>
      </w:r>
    </w:p>
    <w:p w:rsidR="000235D5" w:rsidRPr="003F27BF" w:rsidRDefault="000235D5" w:rsidP="000235D5">
      <w:pPr>
        <w:jc w:val="center"/>
        <w:rPr>
          <w:rFonts w:cstheme="minorHAnsi"/>
          <w:b/>
        </w:rPr>
      </w:pPr>
      <w:r w:rsidRPr="003F27BF">
        <w:rPr>
          <w:rFonts w:cstheme="minorHAnsi"/>
          <w:b/>
        </w:rPr>
        <w:t xml:space="preserve">Transição das carreiras de fiel de armazém, de auxiliar de biblioteca, de operador de reprografia, de motorista, de guarda-noturno, de operador de </w:t>
      </w:r>
      <w:r w:rsidRPr="003F27BF">
        <w:rPr>
          <w:rFonts w:cstheme="minorHAnsi"/>
          <w:b/>
          <w:i/>
        </w:rPr>
        <w:t>offset</w:t>
      </w:r>
      <w:r w:rsidRPr="003F27BF">
        <w:rPr>
          <w:rFonts w:cstheme="minorHAnsi"/>
          <w:b/>
        </w:rPr>
        <w:t xml:space="preserve">, </w:t>
      </w:r>
    </w:p>
    <w:p w:rsidR="000235D5" w:rsidRPr="003F27BF" w:rsidRDefault="000235D5" w:rsidP="000235D5">
      <w:pPr>
        <w:jc w:val="center"/>
        <w:rPr>
          <w:rFonts w:cstheme="minorHAnsi"/>
          <w:b/>
        </w:rPr>
      </w:pPr>
      <w:r w:rsidRPr="003F27BF">
        <w:rPr>
          <w:rFonts w:cstheme="minorHAnsi"/>
          <w:b/>
        </w:rPr>
        <w:t>de carpinteiro e de jardineiro</w:t>
      </w:r>
    </w:p>
    <w:p w:rsidR="000235D5" w:rsidRPr="003F27BF" w:rsidRDefault="000235D5" w:rsidP="000235D5">
      <w:pPr>
        <w:jc w:val="both"/>
        <w:rPr>
          <w:rFonts w:cstheme="minorHAnsi"/>
        </w:rPr>
      </w:pPr>
      <w:r w:rsidRPr="003F27BF">
        <w:rPr>
          <w:rFonts w:cstheme="minorHAnsi"/>
        </w:rPr>
        <w:t xml:space="preserve">1 - O pessoal do quadro da Assembleia da República que, à data da entrada em vigor da presente resolução, se encontre provido em lugar das carreiras de fiel de armazém, de auxiliar de biblioteca, de operador de reprografia, de motorista, de guarda-noturno, de operador de </w:t>
      </w:r>
      <w:r w:rsidRPr="003F27BF">
        <w:rPr>
          <w:rFonts w:cstheme="minorHAnsi"/>
          <w:i/>
        </w:rPr>
        <w:t>offset</w:t>
      </w:r>
      <w:r w:rsidRPr="003F27BF">
        <w:rPr>
          <w:rFonts w:cstheme="minorHAnsi"/>
        </w:rPr>
        <w:t>, de carpinteiro e de jardineiro transita para as correspondentes carreiras, procedendo-se a integração em escalão a que corresponda, na nova estrutura salarial da carreira, índice igual ao que atualmente detém ou, no caso de não haver coincidência, em escalão a que corresponda o índice imediatamente superior.</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O pessoal referido no n.º 1 que detenha 10 ou mais anos na carreira transita para o escalão 4 da respetiva carreira, salvo transição mais favorável que decorra das regras do n.º 1.</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3 - Nas situações referidas </w:t>
      </w:r>
      <w:proofErr w:type="gramStart"/>
      <w:r w:rsidRPr="003F27BF">
        <w:rPr>
          <w:rFonts w:cstheme="minorHAnsi"/>
        </w:rPr>
        <w:t>nos n.º</w:t>
      </w:r>
      <w:proofErr w:type="gramEnd"/>
      <w:r w:rsidRPr="003F27BF">
        <w:rPr>
          <w:rFonts w:cstheme="minorHAnsi"/>
        </w:rPr>
        <w:t xml:space="preserve"> 1 e 2, em que a integração ocorra no mesmo índice, o tempo de serviço prestado no escalão de origem releva para progressão.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 xml:space="preserve">4 - Nos casos em que da aplicação das regras </w:t>
      </w:r>
      <w:proofErr w:type="gramStart"/>
      <w:r w:rsidRPr="003F27BF">
        <w:rPr>
          <w:rFonts w:cstheme="minorHAnsi"/>
        </w:rPr>
        <w:t>dos n.º</w:t>
      </w:r>
      <w:proofErr w:type="gramEnd"/>
      <w:r w:rsidRPr="003F27BF">
        <w:rPr>
          <w:rFonts w:cstheme="minorHAnsi"/>
        </w:rPr>
        <w:t xml:space="preserve"> 1 e 2 a integração determine aumento de índice, a contagem de tempo de serviço no escalão inicia-se, para todos os efeitos, designadamente para progressão, com o momento da transição.</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5 - Sempre que da aplicação das regras de transição previstas no n.º 1 resulte que da progressão para o escalão seguinte decorre a atribuição de índice inferior ao da anterior estrutura salarial, a progressão far-se-á para o escalão imediatamente seguinte.</w:t>
      </w:r>
    </w:p>
    <w:p w:rsidR="000235D5" w:rsidRPr="003F27BF" w:rsidRDefault="000235D5" w:rsidP="000235D5">
      <w:pPr>
        <w:jc w:val="both"/>
        <w:rPr>
          <w:rFonts w:cstheme="minorHAnsi"/>
        </w:rPr>
      </w:pPr>
    </w:p>
    <w:p w:rsidR="000235D5" w:rsidRPr="003F27BF" w:rsidRDefault="000235D5" w:rsidP="000235D5">
      <w:pPr>
        <w:jc w:val="center"/>
        <w:rPr>
          <w:rFonts w:cstheme="minorHAnsi"/>
          <w:b/>
          <w:i/>
        </w:rPr>
      </w:pPr>
      <w:r w:rsidRPr="003F27BF">
        <w:rPr>
          <w:rFonts w:cstheme="minorHAnsi"/>
          <w:b/>
          <w:i/>
        </w:rPr>
        <w:t>Artigo 8.º</w:t>
      </w:r>
    </w:p>
    <w:p w:rsidR="000235D5" w:rsidRPr="003F27BF" w:rsidRDefault="000235D5" w:rsidP="000235D5">
      <w:pPr>
        <w:jc w:val="center"/>
        <w:rPr>
          <w:rFonts w:cstheme="minorHAnsi"/>
          <w:b/>
          <w:i/>
        </w:rPr>
      </w:pPr>
      <w:r w:rsidRPr="003F27BF">
        <w:rPr>
          <w:rFonts w:cstheme="minorHAnsi"/>
          <w:b/>
          <w:i/>
        </w:rPr>
        <w:t>Alteração do quadro de pessoal</w:t>
      </w:r>
    </w:p>
    <w:p w:rsidR="000235D5" w:rsidRPr="003F27BF" w:rsidRDefault="000235D5" w:rsidP="000235D5">
      <w:pPr>
        <w:jc w:val="both"/>
        <w:rPr>
          <w:rFonts w:cstheme="minorHAnsi"/>
          <w:i/>
        </w:rPr>
      </w:pPr>
      <w:r w:rsidRPr="003F27BF">
        <w:rPr>
          <w:rFonts w:cstheme="minorHAnsi"/>
          <w:i/>
        </w:rPr>
        <w:t>Revogado.</w:t>
      </w:r>
    </w:p>
    <w:p w:rsidR="000235D5" w:rsidRPr="003F27BF" w:rsidRDefault="000235D5" w:rsidP="000235D5">
      <w:pPr>
        <w:jc w:val="center"/>
        <w:rPr>
          <w:rFonts w:cstheme="minorHAnsi"/>
          <w:b/>
        </w:rPr>
      </w:pPr>
    </w:p>
    <w:p w:rsidR="000235D5" w:rsidRPr="003F27BF" w:rsidRDefault="000235D5" w:rsidP="000235D5">
      <w:pPr>
        <w:jc w:val="center"/>
        <w:rPr>
          <w:rFonts w:cstheme="minorHAnsi"/>
          <w:b/>
        </w:rPr>
      </w:pPr>
      <w:r w:rsidRPr="003F27BF">
        <w:rPr>
          <w:rFonts w:cstheme="minorHAnsi"/>
          <w:b/>
        </w:rPr>
        <w:t>Artigo 9.º</w:t>
      </w:r>
    </w:p>
    <w:p w:rsidR="000235D5" w:rsidRPr="003F27BF" w:rsidRDefault="000235D5" w:rsidP="000235D5">
      <w:pPr>
        <w:jc w:val="center"/>
        <w:rPr>
          <w:rFonts w:cstheme="minorHAnsi"/>
          <w:b/>
        </w:rPr>
      </w:pPr>
      <w:r w:rsidRPr="003F27BF">
        <w:rPr>
          <w:rFonts w:cstheme="minorHAnsi"/>
          <w:b/>
        </w:rPr>
        <w:t>Ratificação</w:t>
      </w:r>
    </w:p>
    <w:p w:rsidR="000235D5" w:rsidRPr="003F27BF" w:rsidRDefault="000235D5" w:rsidP="000235D5">
      <w:pPr>
        <w:jc w:val="both"/>
        <w:rPr>
          <w:rFonts w:cstheme="minorHAnsi"/>
        </w:rPr>
      </w:pPr>
      <w:r w:rsidRPr="003F27BF">
        <w:rPr>
          <w:rFonts w:cstheme="minorHAnsi"/>
        </w:rPr>
        <w:t xml:space="preserve">Consideram-se ratificados, até à entrada em vigor do disposto nesta resolução, os atos praticados na decorrência da </w:t>
      </w:r>
      <w:r w:rsidRPr="003F27BF">
        <w:rPr>
          <w:rFonts w:cstheme="minorHAnsi"/>
          <w:i/>
        </w:rPr>
        <w:t>Ordem de Serviços</w:t>
      </w:r>
      <w:r w:rsidRPr="003F27BF">
        <w:rPr>
          <w:rFonts w:cstheme="minorHAnsi"/>
        </w:rPr>
        <w:t xml:space="preserve"> n.º 3/91, de 7 de janeiro, sobre estruturas indiciárias.</w:t>
      </w:r>
    </w:p>
    <w:p w:rsidR="000235D5" w:rsidRPr="003F27BF" w:rsidRDefault="000235D5" w:rsidP="000235D5">
      <w:pPr>
        <w:jc w:val="both"/>
        <w:rPr>
          <w:rFonts w:cstheme="minorHAnsi"/>
        </w:rPr>
      </w:pP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10.º</w:t>
      </w:r>
    </w:p>
    <w:p w:rsidR="000235D5" w:rsidRPr="003F27BF" w:rsidRDefault="000235D5" w:rsidP="000235D5">
      <w:pPr>
        <w:jc w:val="center"/>
        <w:rPr>
          <w:rFonts w:cstheme="minorHAnsi"/>
          <w:b/>
        </w:rPr>
      </w:pPr>
      <w:r w:rsidRPr="003F27BF">
        <w:rPr>
          <w:rFonts w:cstheme="minorHAnsi"/>
          <w:b/>
        </w:rPr>
        <w:t>Outras carreiras</w:t>
      </w:r>
    </w:p>
    <w:p w:rsidR="000235D5" w:rsidRPr="003F27BF" w:rsidRDefault="000235D5" w:rsidP="000235D5">
      <w:pPr>
        <w:jc w:val="both"/>
        <w:rPr>
          <w:rFonts w:cstheme="minorHAnsi"/>
        </w:rPr>
      </w:pPr>
      <w:r w:rsidRPr="003F27BF">
        <w:rPr>
          <w:rFonts w:cstheme="minorHAnsi"/>
        </w:rPr>
        <w:t>As restantes carreiras da Assembleia da República a que se refere o n.º 3 do artigo 1</w:t>
      </w:r>
      <w:r w:rsidR="00D31F25">
        <w:rPr>
          <w:rFonts w:cstheme="minorHAnsi"/>
        </w:rPr>
        <w:t>8.º da Lei n.º 59/93, de 17 de a</w:t>
      </w:r>
      <w:bookmarkStart w:id="0" w:name="_GoBack"/>
      <w:bookmarkEnd w:id="0"/>
      <w:r w:rsidRPr="003F27BF">
        <w:rPr>
          <w:rFonts w:cstheme="minorHAnsi"/>
        </w:rPr>
        <w:t>gosto, serão objeto de reestruturação, com efeitos desde a entrada em vigor da presente resolução, e nos termos da parte final do artigo 14.º</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11.º</w:t>
      </w:r>
    </w:p>
    <w:p w:rsidR="000235D5" w:rsidRPr="003F27BF" w:rsidRDefault="000235D5" w:rsidP="000235D5">
      <w:pPr>
        <w:jc w:val="center"/>
        <w:rPr>
          <w:rFonts w:cstheme="minorHAnsi"/>
        </w:rPr>
      </w:pPr>
      <w:r w:rsidRPr="003F27BF">
        <w:rPr>
          <w:rFonts w:cstheme="minorHAnsi"/>
          <w:b/>
        </w:rPr>
        <w:t>Disposições transitórias</w:t>
      </w:r>
    </w:p>
    <w:p w:rsidR="000235D5" w:rsidRPr="003F27BF" w:rsidRDefault="000235D5" w:rsidP="000235D5">
      <w:pPr>
        <w:jc w:val="both"/>
        <w:rPr>
          <w:rFonts w:cstheme="minorHAnsi"/>
        </w:rPr>
      </w:pPr>
      <w:r w:rsidRPr="003F27BF">
        <w:rPr>
          <w:rFonts w:cstheme="minorHAnsi"/>
        </w:rPr>
        <w:t>O disposto na presente resolução sobre transições de carreiras é aplicado aos casos em que, por motivos de processo de concurso concluído no corrente ano, se verifique que um funcionário se encontre posicionado em escalão e ou índice inferior ao que decorreria da aplicação das normas de transição consagradas nesta resolução à situação que detinha anteriormente ao concurso.</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12.º</w:t>
      </w:r>
    </w:p>
    <w:p w:rsidR="000235D5" w:rsidRPr="003F27BF" w:rsidRDefault="000235D5" w:rsidP="000235D5">
      <w:pPr>
        <w:jc w:val="center"/>
        <w:rPr>
          <w:rFonts w:cstheme="minorHAnsi"/>
          <w:b/>
        </w:rPr>
      </w:pPr>
      <w:r w:rsidRPr="003F27BF">
        <w:rPr>
          <w:rFonts w:cstheme="minorHAnsi"/>
          <w:b/>
        </w:rPr>
        <w:t>Formalidades da transição</w:t>
      </w:r>
    </w:p>
    <w:p w:rsidR="000235D5" w:rsidRPr="003F27BF" w:rsidRDefault="000235D5" w:rsidP="000235D5">
      <w:pPr>
        <w:jc w:val="both"/>
        <w:rPr>
          <w:rFonts w:cstheme="minorHAnsi"/>
        </w:rPr>
      </w:pPr>
      <w:r w:rsidRPr="003F27BF">
        <w:rPr>
          <w:rFonts w:cstheme="minorHAnsi"/>
        </w:rPr>
        <w:t>1 - A integração na nova estrutura salarial será feita por lista nominativa de transição, a qual deve ser afixada em locais apropriados a possibilitar a sua consulta pelos interessados.</w:t>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t>2 - Da integração cabe reclamação para o Secretário-Geral no prazo de 15 dias a contar da data daquela afixação, a qual deve ser decidida no prazo de 30 dias a contar da receção do pedido.</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13.º</w:t>
      </w:r>
    </w:p>
    <w:p w:rsidR="000235D5" w:rsidRPr="003F27BF" w:rsidRDefault="000235D5" w:rsidP="000235D5">
      <w:pPr>
        <w:jc w:val="center"/>
        <w:rPr>
          <w:rFonts w:cstheme="minorHAnsi"/>
          <w:b/>
        </w:rPr>
      </w:pPr>
      <w:r w:rsidRPr="003F27BF">
        <w:rPr>
          <w:rFonts w:cstheme="minorHAnsi"/>
          <w:b/>
        </w:rPr>
        <w:t>Regularização de situações</w:t>
      </w:r>
    </w:p>
    <w:p w:rsidR="000235D5" w:rsidRPr="003F27BF" w:rsidRDefault="000235D5" w:rsidP="000235D5">
      <w:pPr>
        <w:jc w:val="both"/>
        <w:rPr>
          <w:rFonts w:cstheme="minorHAnsi"/>
        </w:rPr>
      </w:pPr>
      <w:r w:rsidRPr="003F27BF">
        <w:rPr>
          <w:rFonts w:cstheme="minorHAnsi"/>
        </w:rPr>
        <w:t>Quando, no quadro geral definido pela presente resolução, as transições dela decorrentes revelem desvios cuja causa tenha origem em deficiente aplicação dos normativos reguladores das anteriores situações jurídico-funcionais dos funcionários parlamentares, com quebra da paridade então existente, a respetiva regularização processar-se-á, sob proposta fundamentada do Secretário-Geral e parecer favorável do Conselho de Administração, por despacho do presidente da Assembleia da República.</w:t>
      </w: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Artigo 14.º</w:t>
      </w:r>
    </w:p>
    <w:p w:rsidR="000235D5" w:rsidRPr="003F27BF" w:rsidRDefault="000235D5" w:rsidP="000235D5">
      <w:pPr>
        <w:jc w:val="center"/>
        <w:rPr>
          <w:rFonts w:cstheme="minorHAnsi"/>
          <w:b/>
        </w:rPr>
      </w:pPr>
      <w:r w:rsidRPr="003F27BF">
        <w:rPr>
          <w:rFonts w:cstheme="minorHAnsi"/>
          <w:b/>
        </w:rPr>
        <w:t>Entrada em vigor</w:t>
      </w:r>
    </w:p>
    <w:p w:rsidR="000235D5" w:rsidRPr="003F27BF" w:rsidRDefault="000235D5" w:rsidP="000235D5">
      <w:pPr>
        <w:jc w:val="both"/>
        <w:rPr>
          <w:rFonts w:cstheme="minorHAnsi"/>
        </w:rPr>
      </w:pPr>
      <w:r w:rsidRPr="003F27BF">
        <w:rPr>
          <w:rFonts w:cstheme="minorHAnsi"/>
        </w:rPr>
        <w:t xml:space="preserve">A presente resolução entra em vigor no dia da sua publicação no Diário da Assembleia da República, produzindo as transições nela </w:t>
      </w:r>
      <w:proofErr w:type="gramStart"/>
      <w:r w:rsidRPr="003F27BF">
        <w:rPr>
          <w:rFonts w:cstheme="minorHAnsi"/>
        </w:rPr>
        <w:t>previstas efeitos</w:t>
      </w:r>
      <w:proofErr w:type="gramEnd"/>
      <w:r w:rsidRPr="003F27BF">
        <w:rPr>
          <w:rFonts w:cstheme="minorHAnsi"/>
        </w:rPr>
        <w:t xml:space="preserve"> a partir do dia 1 de Junho de 1996.</w:t>
      </w:r>
    </w:p>
    <w:p w:rsidR="000235D5" w:rsidRPr="003F27BF" w:rsidRDefault="000235D5" w:rsidP="000235D5">
      <w:pPr>
        <w:jc w:val="both"/>
        <w:rPr>
          <w:rFonts w:cstheme="minorHAnsi"/>
        </w:rPr>
      </w:pPr>
    </w:p>
    <w:p w:rsidR="000235D5" w:rsidRPr="003F27BF" w:rsidRDefault="000235D5" w:rsidP="000235D5">
      <w:pPr>
        <w:jc w:val="both"/>
        <w:rPr>
          <w:rFonts w:cstheme="minorHAnsi"/>
        </w:rPr>
      </w:pPr>
    </w:p>
    <w:p w:rsidR="000235D5" w:rsidRPr="003F27BF" w:rsidRDefault="000235D5" w:rsidP="000235D5">
      <w:pPr>
        <w:jc w:val="both"/>
        <w:rPr>
          <w:rFonts w:cstheme="minorHAnsi"/>
        </w:rPr>
      </w:pPr>
    </w:p>
    <w:p w:rsidR="000235D5" w:rsidRPr="003F27BF" w:rsidRDefault="000235D5" w:rsidP="000235D5">
      <w:pPr>
        <w:jc w:val="center"/>
        <w:rPr>
          <w:rFonts w:cstheme="minorHAnsi"/>
          <w:b/>
        </w:rPr>
      </w:pPr>
      <w:r w:rsidRPr="003F27BF">
        <w:rPr>
          <w:rFonts w:cstheme="minorHAnsi"/>
          <w:b/>
        </w:rPr>
        <w:t>Mapa I</w:t>
      </w:r>
    </w:p>
    <w:p w:rsidR="000235D5" w:rsidRPr="003F27BF" w:rsidRDefault="000235D5" w:rsidP="000235D5">
      <w:pPr>
        <w:jc w:val="both"/>
        <w:rPr>
          <w:rFonts w:cstheme="minorHAnsi"/>
          <w:i/>
        </w:rPr>
      </w:pPr>
      <w:r w:rsidRPr="003F27BF">
        <w:rPr>
          <w:rFonts w:cstheme="minorHAnsi"/>
          <w:i/>
        </w:rPr>
        <w:t>Revogado.</w:t>
      </w:r>
      <w:r w:rsidRPr="003F27BF">
        <w:rPr>
          <w:rStyle w:val="Refdenotaderodap"/>
          <w:rFonts w:cstheme="minorHAnsi"/>
          <w:sz w:val="24"/>
          <w:szCs w:val="24"/>
        </w:rPr>
        <w:footnoteReference w:id="1"/>
      </w:r>
    </w:p>
    <w:p w:rsidR="000235D5" w:rsidRPr="003F27BF" w:rsidRDefault="00D31F25" w:rsidP="000235D5">
      <w:pPr>
        <w:jc w:val="center"/>
        <w:rPr>
          <w:rFonts w:cstheme="minorHAnsi"/>
          <w:b/>
          <w:sz w:val="24"/>
          <w:szCs w:val="24"/>
        </w:rPr>
      </w:pPr>
      <w:r>
        <w:rPr>
          <w:rFonts w:cstheme="minorHAnsi"/>
          <w:noProof/>
        </w:rPr>
        <w:pict>
          <v:shapetype id="_x0000_t202" coordsize="21600,21600" o:spt="202" path="m,l,21600r21600,l21600,xe">
            <v:stroke joinstyle="miter"/>
            <v:path gradientshapeok="t" o:connecttype="rect"/>
          </v:shapetype>
          <v:shape id="_x0000_s1028" type="#_x0000_t202" style="position:absolute;left:0;text-align:left;margin-left:-.75pt;margin-top:471.4pt;width:410.25pt;height:58.5pt;z-index:251663360;mso-height-percent:200;mso-height-percent:200;mso-width-relative:margin;mso-height-relative:margin" fillcolor="white [3212]" strokecolor="white [3212]">
            <v:textbox style="mso-fit-shape-to-text:t">
              <w:txbxContent>
                <w:p w:rsidR="000235D5" w:rsidRPr="00D47ADF" w:rsidRDefault="000235D5" w:rsidP="000235D5">
                  <w:pPr>
                    <w:ind w:left="142" w:hanging="142"/>
                    <w:jc w:val="both"/>
                    <w:rPr>
                      <w:rFonts w:ascii="Calibri" w:hAnsi="Calibri"/>
                      <w:sz w:val="14"/>
                    </w:rPr>
                  </w:pPr>
                </w:p>
                <w:p w:rsidR="000235D5" w:rsidRDefault="000235D5" w:rsidP="000235D5"/>
              </w:txbxContent>
            </v:textbox>
          </v:shape>
        </w:pict>
      </w:r>
      <w:r w:rsidR="000235D5" w:rsidRPr="003F27BF">
        <w:rPr>
          <w:rFonts w:cstheme="minorHAnsi"/>
          <w:b/>
          <w:noProof/>
          <w:sz w:val="24"/>
          <w:szCs w:val="24"/>
          <w:lang w:eastAsia="pt-PT"/>
        </w:rPr>
        <w:drawing>
          <wp:inline distT="0" distB="0" distL="0" distR="0">
            <wp:extent cx="5400675" cy="6438900"/>
            <wp:effectExtent l="0" t="0" r="0" b="0"/>
            <wp:docPr id="9" name="Objec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50292" cy="6798752"/>
                      <a:chOff x="642918" y="809596"/>
                      <a:chExt cx="5750292" cy="6798752"/>
                    </a:xfrm>
                  </a:grpSpPr>
                  <a:grpSp>
                    <a:nvGrpSpPr>
                      <a:cNvPr id="14" name="Grupo 13"/>
                      <a:cNvGrpSpPr/>
                    </a:nvGrpSpPr>
                    <a:grpSpPr>
                      <a:xfrm>
                        <a:off x="642918" y="809596"/>
                        <a:ext cx="5750292" cy="6798752"/>
                        <a:chOff x="642918" y="809596"/>
                        <a:chExt cx="5750292" cy="6798752"/>
                      </a:xfrm>
                    </a:grpSpPr>
                    <a:pic>
                      <a:nvPicPr>
                        <a:cNvPr id="4" name="Imagem 3" descr="MapaII"/>
                        <a:cNvPicPr/>
                      </a:nvPicPr>
                      <a:blipFill>
                        <a:blip r:embed="rId20"/>
                        <a:srcRect/>
                        <a:stretch>
                          <a:fillRect/>
                        </a:stretch>
                      </a:blipFill>
                      <a:spPr bwMode="auto">
                        <a:xfrm>
                          <a:off x="714356" y="809596"/>
                          <a:ext cx="5391150" cy="6286544"/>
                        </a:xfrm>
                        <a:prstGeom prst="rect">
                          <a:avLst/>
                        </a:prstGeom>
                        <a:noFill/>
                        <a:ln w="9525">
                          <a:noFill/>
                          <a:miter lim="800000"/>
                          <a:headEnd/>
                          <a:tailEnd/>
                        </a:ln>
                      </a:spPr>
                    </a:pic>
                    <a:sp>
                      <a:nvSpPr>
                        <a:cNvPr id="7" name="CaixaDeTexto 6"/>
                        <a:cNvSpPr txBox="1"/>
                      </a:nvSpPr>
                      <a:spPr>
                        <a:xfrm>
                          <a:off x="2547249" y="5486392"/>
                          <a:ext cx="3601996" cy="553998"/>
                        </a:xfrm>
                        <a:prstGeom prst="rect">
                          <a:avLst/>
                        </a:prstGeom>
                        <a:solidFill>
                          <a:schemeClr val="bg1"/>
                        </a:solidFill>
                        <a:ln>
                          <a:noFill/>
                        </a:ln>
                      </a:spPr>
                      <a:txSp>
                        <a:txBody>
                          <a:bodyPr wrap="square" rtlCol="0" anchor="b">
                            <a:norm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just"/>
                            <a:r>
                              <a:rPr lang="pt-PT" sz="750" spc="-50" dirty="0" smtClean="0">
                                <a:effectLst/>
                                <a:latin typeface="Cambria Math" pitchFamily="18" charset="0"/>
                                <a:ea typeface="Cambria Math" pitchFamily="18" charset="0"/>
                                <a:cs typeface="Latha" pitchFamily="2"/>
                              </a:rPr>
                              <a:t>9 </a:t>
                            </a:r>
                            <a:r>
                              <a:rPr lang="pt-PT" sz="750" spc="-50" dirty="0" smtClean="0">
                                <a:effectLst/>
                                <a:latin typeface="Cambria Math" pitchFamily="18" charset="0"/>
                                <a:ea typeface="Cambria Math" pitchFamily="18" charset="0"/>
                                <a:cs typeface="Latha" pitchFamily="2"/>
                              </a:rPr>
                              <a:t>anos de escolaridade ou motoristas ao serviço da Assembleia da República à data </a:t>
                            </a:r>
                            <a:r>
                              <a:rPr lang="pt-PT" sz="750" spc="-50" dirty="0" smtClean="0">
                                <a:effectLst/>
                                <a:latin typeface="Cambria Math" pitchFamily="18" charset="0"/>
                                <a:ea typeface="Cambria Math" pitchFamily="18" charset="0"/>
                                <a:cs typeface="Latha" pitchFamily="2"/>
                              </a:rPr>
                              <a:t> da </a:t>
                            </a:r>
                            <a:r>
                              <a:rPr lang="pt-PT" sz="750" spc="-50" dirty="0" smtClean="0">
                                <a:effectLst/>
                                <a:latin typeface="Cambria Math" pitchFamily="18" charset="0"/>
                                <a:ea typeface="Cambria Math" pitchFamily="18" charset="0"/>
                                <a:cs typeface="Latha" pitchFamily="2"/>
                              </a:rPr>
                              <a:t>entrada em vigor da presente resolução, com ou sem vínculo à função pública, os quais podem </a:t>
                            </a:r>
                            <a:r>
                              <a:rPr lang="pt-PT" sz="750" spc="-50" dirty="0" smtClean="0">
                                <a:effectLst/>
                                <a:latin typeface="Cambria Math" pitchFamily="18" charset="0"/>
                                <a:ea typeface="Cambria Math" pitchFamily="18" charset="0"/>
                                <a:cs typeface="Latha" pitchFamily="2"/>
                              </a:rPr>
                              <a:t>ser </a:t>
                            </a:r>
                            <a:r>
                              <a:rPr lang="pt-PT" sz="750" spc="-50" dirty="0" smtClean="0">
                                <a:effectLst/>
                                <a:latin typeface="Cambria Math" pitchFamily="18" charset="0"/>
                                <a:ea typeface="Cambria Math" pitchFamily="18" charset="0"/>
                                <a:cs typeface="Latha" pitchFamily="2"/>
                              </a:rPr>
                              <a:t>opositores a  concurso interno geral; carta de condução de ligeiros e comprovativo da inexistência </a:t>
                            </a:r>
                            <a:r>
                              <a:rPr lang="pt-PT" sz="750" spc="-50" dirty="0" smtClean="0">
                                <a:effectLst/>
                                <a:latin typeface="Cambria Math" pitchFamily="18" charset="0"/>
                                <a:ea typeface="Cambria Math" pitchFamily="18" charset="0"/>
                                <a:cs typeface="Latha" pitchFamily="2"/>
                              </a:rPr>
                              <a:t>de </a:t>
                            </a:r>
                            <a:r>
                              <a:rPr lang="pt-PT" sz="750" spc="-50" dirty="0" smtClean="0">
                                <a:effectLst/>
                                <a:latin typeface="Cambria Math" pitchFamily="18" charset="0"/>
                                <a:ea typeface="Cambria Math" pitchFamily="18" charset="0"/>
                                <a:cs typeface="Latha" pitchFamily="2"/>
                              </a:rPr>
                              <a:t>contra-ordenações graves ou muito graves, constantes do registo individual do condutor (RIC).</a:t>
                            </a:r>
                            <a:endParaRPr lang="pt-PT" sz="750" spc="-50" dirty="0" smtClean="0">
                              <a:effectLst/>
                              <a:latin typeface="Cambria Math" pitchFamily="18" charset="0"/>
                              <a:ea typeface="Cambria Math" pitchFamily="18" charset="0"/>
                              <a:cs typeface="Latha" pitchFamily="2"/>
                            </a:endParaRPr>
                          </a:p>
                        </a:txBody>
                        <a:useSpRect/>
                      </a:txSp>
                    </a:sp>
                    <a:sp>
                      <a:nvSpPr>
                        <a:cNvPr id="8" name="CaixaDeTexto 7"/>
                        <a:cNvSpPr txBox="1"/>
                      </a:nvSpPr>
                      <a:spPr>
                        <a:xfrm>
                          <a:off x="2696807" y="5332824"/>
                          <a:ext cx="214314" cy="184666"/>
                        </a:xfrm>
                        <a:prstGeom prst="rect">
                          <a:avLst/>
                        </a:prstGeom>
                        <a:noFill/>
                      </a:spPr>
                      <a:txSp>
                        <a:txBody>
                          <a:bodyPr wrap="squar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PT" sz="600" b="1" dirty="0" smtClean="0">
                                <a:latin typeface="Garamond" pitchFamily="18" charset="0"/>
                              </a:rPr>
                              <a:t>1</a:t>
                            </a:r>
                            <a:endParaRPr lang="pt-PT" sz="600" b="1" dirty="0">
                              <a:latin typeface="Garamond" pitchFamily="18" charset="0"/>
                            </a:endParaRPr>
                          </a:p>
                        </a:txBody>
                        <a:useSpRect/>
                      </a:txSp>
                    </a:sp>
                    <a:sp>
                      <a:nvSpPr>
                        <a:cNvPr id="9" name="CaixaDeTexto 8"/>
                        <a:cNvSpPr txBox="1"/>
                      </a:nvSpPr>
                      <a:spPr>
                        <a:xfrm>
                          <a:off x="642918" y="7239016"/>
                          <a:ext cx="5750292" cy="369332"/>
                        </a:xfrm>
                        <a:prstGeom prst="rect">
                          <a:avLst/>
                        </a:prstGeom>
                        <a:noFill/>
                      </a:spPr>
                      <a:txSp>
                        <a:txBody>
                          <a:bodyPr wrap="none" rtlCol="0">
                            <a:spAutoFit/>
                          </a:bodyPr>
                          <a:lstStyle>
                            <a:defPPr>
                              <a:defRPr lang="pt-PT"/>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pt-PT" sz="800" baseline="30000" dirty="0" smtClean="0">
                                <a:latin typeface="Garamond" pitchFamily="18" charset="0"/>
                              </a:rPr>
                              <a:t>1</a:t>
                            </a:r>
                            <a:r>
                              <a:rPr lang="pt-PT" sz="600" dirty="0" smtClean="0">
                                <a:latin typeface="Garamond" pitchFamily="18" charset="0"/>
                              </a:rPr>
                              <a:t>Redacção </a:t>
                            </a:r>
                            <a:r>
                              <a:rPr lang="pt-PT" sz="600" dirty="0">
                                <a:latin typeface="Garamond" pitchFamily="18" charset="0"/>
                              </a:rPr>
                              <a:t>dada </a:t>
                            </a:r>
                            <a:r>
                              <a:rPr lang="pt-PT" sz="600" dirty="0" smtClean="0">
                                <a:latin typeface="Garamond" pitchFamily="18" charset="0"/>
                              </a:rPr>
                              <a:t>pela Resolução </a:t>
                            </a:r>
                            <a:r>
                              <a:rPr lang="pt-PT" sz="600" dirty="0">
                                <a:latin typeface="Garamond" pitchFamily="18" charset="0"/>
                              </a:rPr>
                              <a:t>da Assembleia da República n.º8/98, de 18 de Março</a:t>
                            </a:r>
                            <a:r>
                              <a:rPr lang="pt-PT" sz="600" dirty="0" smtClean="0">
                                <a:latin typeface="Garamond" pitchFamily="18" charset="0"/>
                              </a:rPr>
                              <a:t>. Redacção originária: 9 anos de escolaridade e carta de condução de ligeiros: ou Motoristas ao serviço </a:t>
                            </a:r>
                          </a:p>
                          <a:p>
                            <a:r>
                              <a:rPr lang="pt-PT" sz="600" dirty="0" smtClean="0">
                                <a:latin typeface="Garamond" pitchFamily="18" charset="0"/>
                              </a:rPr>
                              <a:t>da Assembleia da República à data da entrada em vigor da presente Resolução.</a:t>
                            </a:r>
                          </a:p>
                          <a:p>
                            <a:r>
                              <a:rPr lang="pt-PT" sz="600" dirty="0" smtClean="0">
                                <a:latin typeface="Garamond" pitchFamily="18" charset="0"/>
                              </a:rPr>
                              <a:t>Comprovativo de inexistência de contra-ordenações graves ou muito graves constante de registo no registo individual do condutor (RIC).</a:t>
                            </a:r>
                            <a:endParaRPr lang="pt-PT" sz="600" dirty="0">
                              <a:latin typeface="Garamond" pitchFamily="18" charset="0"/>
                            </a:endParaRPr>
                          </a:p>
                        </a:txBody>
                        <a:useSpRect/>
                      </a:txSp>
                    </a:sp>
                  </a:grpSp>
                </lc:lockedCanvas>
              </a:graphicData>
            </a:graphic>
          </wp:inline>
        </w:drawing>
      </w:r>
    </w:p>
    <w:p w:rsidR="000235D5" w:rsidRPr="003F27BF" w:rsidRDefault="000235D5" w:rsidP="000235D5">
      <w:pPr>
        <w:jc w:val="both"/>
        <w:rPr>
          <w:rFonts w:cstheme="minorHAnsi"/>
        </w:rPr>
      </w:pPr>
    </w:p>
    <w:p w:rsidR="000235D5" w:rsidRPr="003F27BF" w:rsidRDefault="000235D5" w:rsidP="000235D5">
      <w:pPr>
        <w:jc w:val="both"/>
        <w:rPr>
          <w:rFonts w:cstheme="minorHAnsi"/>
        </w:rPr>
      </w:pPr>
      <w:r w:rsidRPr="003F27BF">
        <w:rPr>
          <w:rFonts w:cstheme="minorHAnsi"/>
        </w:rPr>
        <w:br w:type="page"/>
      </w:r>
      <w:r w:rsidRPr="003F27BF">
        <w:rPr>
          <w:rFonts w:cstheme="minorHAnsi"/>
          <w:noProof/>
          <w:lang w:eastAsia="pt-PT"/>
        </w:rPr>
        <w:drawing>
          <wp:inline distT="0" distB="0" distL="0" distR="0">
            <wp:extent cx="5391150" cy="6600825"/>
            <wp:effectExtent l="19050" t="0" r="0" b="0"/>
            <wp:docPr id="1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91150" cy="6600825"/>
                    </a:xfrm>
                    <a:prstGeom prst="rect">
                      <a:avLst/>
                    </a:prstGeom>
                    <a:noFill/>
                    <a:ln w="9525">
                      <a:noFill/>
                      <a:miter lim="800000"/>
                      <a:headEnd/>
                      <a:tailEnd/>
                    </a:ln>
                  </pic:spPr>
                </pic:pic>
              </a:graphicData>
            </a:graphic>
          </wp:inline>
        </w:drawing>
      </w:r>
    </w:p>
    <w:sectPr w:rsidR="000235D5" w:rsidRPr="003F27BF" w:rsidSect="00B0545C">
      <w:headerReference w:type="even" r:id="rId22"/>
      <w:headerReference w:type="default" r:id="rId23"/>
      <w:footerReference w:type="even" r:id="rId24"/>
      <w:footerReference w:type="default" r:id="rId25"/>
      <w:headerReference w:type="first" r:id="rId26"/>
      <w:footerReference w:type="first" r:id="rId27"/>
      <w:pgSz w:w="11906" w:h="16838"/>
      <w:pgMar w:top="1701" w:right="1701" w:bottom="1276" w:left="1701"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E7F" w:rsidRDefault="00675E7F" w:rsidP="000235D5">
      <w:pPr>
        <w:spacing w:after="0"/>
      </w:pPr>
      <w:r>
        <w:separator/>
      </w:r>
    </w:p>
  </w:endnote>
  <w:endnote w:type="continuationSeparator" w:id="0">
    <w:p w:rsidR="00675E7F" w:rsidRDefault="00675E7F" w:rsidP="000235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7A" w:rsidRDefault="0067077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22FB" w:rsidRPr="00F27C2A" w:rsidRDefault="00D31F25" w:rsidP="00CF617C">
    <w:pPr>
      <w:pStyle w:val="Rodap"/>
      <w:tabs>
        <w:tab w:val="clear" w:pos="8504"/>
        <w:tab w:val="right" w:pos="9214"/>
      </w:tabs>
      <w:rPr>
        <w:noProof/>
        <w:color w:val="7F7F7F" w:themeColor="text1" w:themeTint="80"/>
        <w:sz w:val="16"/>
        <w:szCs w:val="16"/>
      </w:rPr>
    </w:pPr>
    <w:r>
      <w:rPr>
        <w:noProof/>
        <w:color w:val="7F7F7F" w:themeColor="text1" w:themeTint="80"/>
        <w:sz w:val="16"/>
        <w:szCs w:val="16"/>
      </w:rPr>
      <w:pict>
        <v:shapetype id="_x0000_t202" coordsize="21600,21600" o:spt="202" path="m,l,21600r21600,l21600,xe">
          <v:stroke joinstyle="miter"/>
          <v:path gradientshapeok="t" o:connecttype="rect"/>
        </v:shapetype>
        <v:shape id="_x0000_s2051" type="#_x0000_t202" style="position:absolute;margin-left:-54.05pt;margin-top:3.8pt;width:198.15pt;height:31.2pt;z-index:251658240;mso-width-relative:margin;mso-height-relative:margin" filled="f" stroked="f">
          <v:textbox style="mso-next-textbox:#_x0000_s2051">
            <w:txbxContent>
              <w:p w:rsidR="008720B8" w:rsidRDefault="0067077A">
                <w:r>
                  <w:rPr>
                    <w:noProof/>
                    <w:lang w:eastAsia="pt-PT"/>
                  </w:rPr>
                  <w:drawing>
                    <wp:inline distT="0" distB="0" distL="0" distR="0">
                      <wp:extent cx="2156460" cy="320040"/>
                      <wp:effectExtent l="19050" t="0" r="0" b="0"/>
                      <wp:docPr id="1" name="Imagem 1" descr="C:\Users\mrleitao\AppData\Local\Microsoft\Windows\Temporary Internet Files\Content.Outlook\PEDGC5XP\rodape_AR_DILP cinz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leitao\AppData\Local\Microsoft\Windows\Temporary Internet Files\Content.Outlook\PEDGC5XP\rodape_AR_DILP cinza 3.jpg"/>
                              <pic:cNvPicPr>
                                <a:picLocks noChangeAspect="1" noChangeArrowheads="1"/>
                              </pic:cNvPicPr>
                            </pic:nvPicPr>
                            <pic:blipFill>
                              <a:blip r:embed="rId1"/>
                              <a:srcRect/>
                              <a:stretch>
                                <a:fillRect/>
                              </a:stretch>
                            </pic:blipFill>
                            <pic:spPr bwMode="auto">
                              <a:xfrm>
                                <a:off x="0" y="0"/>
                                <a:ext cx="2156460" cy="320040"/>
                              </a:xfrm>
                              <a:prstGeom prst="rect">
                                <a:avLst/>
                              </a:prstGeom>
                              <a:noFill/>
                              <a:ln w="9525">
                                <a:noFill/>
                                <a:miter lim="800000"/>
                                <a:headEnd/>
                                <a:tailEnd/>
                              </a:ln>
                            </pic:spPr>
                          </pic:pic>
                        </a:graphicData>
                      </a:graphic>
                    </wp:inline>
                  </w:drawing>
                </w:r>
              </w:p>
            </w:txbxContent>
          </v:textbox>
        </v:shape>
      </w:pict>
    </w:r>
    <w:r>
      <w:rPr>
        <w:noProof/>
        <w:color w:val="7F7F7F" w:themeColor="text1" w:themeTint="80"/>
        <w:sz w:val="16"/>
        <w:szCs w:val="16"/>
      </w:rPr>
      <w:pict>
        <v:shapetype id="_x0000_t32" coordsize="21600,21600" o:spt="32" o:oned="t" path="m,l21600,21600e" filled="f">
          <v:path arrowok="t" fillok="f" o:connecttype="none"/>
          <o:lock v:ext="edit" shapetype="t"/>
        </v:shapetype>
        <v:shape id="_x0000_s2054" type="#_x0000_t32" style="position:absolute;margin-left:-42.2pt;margin-top:.85pt;width:510.25pt;height:0;z-index:251659264" o:connectortype="straight" strokecolor="gray [1629]" strokeweight=".5pt">
          <v:shadow type="perspective" color="#7f7f7f [1601]" opacity=".5" offset="1pt" offset2="-1pt"/>
        </v:shape>
      </w:pict>
    </w:r>
  </w:p>
  <w:p w:rsidR="00D6443F" w:rsidRPr="002922FB" w:rsidRDefault="00D31F25" w:rsidP="00172B2B">
    <w:pPr>
      <w:pStyle w:val="Rodap"/>
      <w:tabs>
        <w:tab w:val="clear" w:pos="4252"/>
        <w:tab w:val="clear" w:pos="8504"/>
      </w:tabs>
      <w:rPr>
        <w:color w:val="7F7F7F" w:themeColor="text1" w:themeTint="80"/>
      </w:rPr>
    </w:pPr>
    <w:r>
      <w:rPr>
        <w:noProof/>
        <w:color w:val="7F7F7F" w:themeColor="text1" w:themeTint="80"/>
        <w:sz w:val="20"/>
        <w:szCs w:val="20"/>
        <w:lang w:eastAsia="en-US"/>
      </w:rPr>
      <w:pict>
        <v:shape id="_x0000_s2052" type="#_x0000_t202" style="position:absolute;margin-left:432.6pt;margin-top:6.3pt;width:42.1pt;height:31.35pt;z-index:251660288;mso-width-relative:margin;mso-height-relative:margin" filled="f" stroked="f">
          <v:textbox style="mso-next-textbox:#_x0000_s2052">
            <w:txbxContent>
              <w:p w:rsidR="00F27C2A" w:rsidRPr="00ED7461" w:rsidRDefault="002E0854" w:rsidP="008720B8">
                <w:pPr>
                  <w:jc w:val="right"/>
                  <w:rPr>
                    <w:color w:val="7F7F7F" w:themeColor="text1" w:themeTint="80"/>
                    <w:sz w:val="20"/>
                    <w:szCs w:val="20"/>
                  </w:rPr>
                </w:pPr>
                <w:r w:rsidRPr="00ED7461">
                  <w:rPr>
                    <w:color w:val="7F7F7F" w:themeColor="text1" w:themeTint="80"/>
                    <w:sz w:val="20"/>
                    <w:szCs w:val="20"/>
                  </w:rPr>
                  <w:fldChar w:fldCharType="begin"/>
                </w:r>
                <w:r w:rsidR="00675E7F" w:rsidRPr="00ED7461">
                  <w:rPr>
                    <w:color w:val="7F7F7F" w:themeColor="text1" w:themeTint="80"/>
                    <w:sz w:val="20"/>
                    <w:szCs w:val="20"/>
                  </w:rPr>
                  <w:instrText xml:space="preserve"> PAGE   \* MERGEFORMAT </w:instrText>
                </w:r>
                <w:r w:rsidRPr="00ED7461">
                  <w:rPr>
                    <w:color w:val="7F7F7F" w:themeColor="text1" w:themeTint="80"/>
                    <w:sz w:val="20"/>
                    <w:szCs w:val="20"/>
                  </w:rPr>
                  <w:fldChar w:fldCharType="separate"/>
                </w:r>
                <w:r w:rsidR="00D31F25">
                  <w:rPr>
                    <w:noProof/>
                    <w:color w:val="7F7F7F" w:themeColor="text1" w:themeTint="80"/>
                    <w:sz w:val="20"/>
                    <w:szCs w:val="20"/>
                  </w:rPr>
                  <w:t>7</w:t>
                </w:r>
                <w:r w:rsidRPr="00ED7461">
                  <w:rPr>
                    <w:color w:val="7F7F7F" w:themeColor="text1" w:themeTint="80"/>
                    <w:sz w:val="20"/>
                    <w:szCs w:val="20"/>
                  </w:rPr>
                  <w:fldChar w:fldCharType="end"/>
                </w:r>
              </w:p>
            </w:txbxContent>
          </v:textbox>
        </v:shape>
      </w:pict>
    </w:r>
    <w:r w:rsidR="00675E7F" w:rsidRPr="002922FB">
      <w:rPr>
        <w:color w:val="7F7F7F" w:themeColor="text1" w:themeTint="80"/>
      </w:rPr>
      <w:tab/>
    </w:r>
    <w:r w:rsidR="00675E7F" w:rsidRPr="002922FB">
      <w:rPr>
        <w:color w:val="7F7F7F" w:themeColor="text1" w:themeTint="8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7A" w:rsidRDefault="0067077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E7F" w:rsidRDefault="00675E7F" w:rsidP="000235D5">
      <w:pPr>
        <w:spacing w:after="0"/>
      </w:pPr>
      <w:r>
        <w:separator/>
      </w:r>
    </w:p>
  </w:footnote>
  <w:footnote w:type="continuationSeparator" w:id="0">
    <w:p w:rsidR="00675E7F" w:rsidRDefault="00675E7F" w:rsidP="000235D5">
      <w:pPr>
        <w:spacing w:after="0"/>
      </w:pPr>
      <w:r>
        <w:continuationSeparator/>
      </w:r>
    </w:p>
  </w:footnote>
  <w:footnote w:id="1">
    <w:p w:rsidR="000235D5" w:rsidRPr="003F27BF" w:rsidRDefault="000235D5" w:rsidP="000235D5">
      <w:pPr>
        <w:pStyle w:val="Textodenotaderodap"/>
        <w:jc w:val="both"/>
        <w:rPr>
          <w:rFonts w:asciiTheme="minorHAnsi" w:hAnsiTheme="minorHAnsi" w:cstheme="minorHAnsi"/>
        </w:rPr>
      </w:pPr>
      <w:r w:rsidRPr="003F27BF">
        <w:rPr>
          <w:rStyle w:val="Refdenotaderodap"/>
          <w:rFonts w:asciiTheme="minorHAnsi" w:hAnsiTheme="minorHAnsi" w:cstheme="minorHAnsi"/>
        </w:rPr>
        <w:footnoteRef/>
      </w:r>
      <w:r w:rsidRPr="003F27BF">
        <w:rPr>
          <w:rFonts w:asciiTheme="minorHAnsi" w:hAnsiTheme="minorHAnsi" w:cstheme="minorHAnsi"/>
        </w:rPr>
        <w:t xml:space="preserve"> O Despacho do Presidente da Assembleia da República de 22 de abril de 2004 substituiu o Mapa I, que pode ser consultado na Resolução da Assembleia da República n.º 8/98, de 18 de março. Quadro original disponível para consulta no </w:t>
      </w:r>
      <w:r w:rsidRPr="00D1097F">
        <w:rPr>
          <w:rFonts w:asciiTheme="minorHAnsi" w:hAnsiTheme="minorHAnsi" w:cstheme="minorHAnsi"/>
          <w:i/>
        </w:rPr>
        <w:t>Diário da República</w:t>
      </w:r>
      <w:r w:rsidRPr="003F27BF">
        <w:rPr>
          <w:rFonts w:asciiTheme="minorHAnsi" w:hAnsiTheme="minorHAnsi" w:cstheme="minorHAns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7A" w:rsidRDefault="0067077A">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09CD" w:rsidRDefault="00D31F25" w:rsidP="00CD09CD">
    <w:pPr>
      <w:pStyle w:val="Cabealho"/>
      <w:tabs>
        <w:tab w:val="clear" w:pos="4252"/>
        <w:tab w:val="clear" w:pos="8504"/>
      </w:tabs>
    </w:pPr>
    <w:r>
      <w:rPr>
        <w:noProof/>
      </w:rPr>
      <w:pict>
        <v:shapetype id="_x0000_t202" coordsize="21600,21600" o:spt="202" path="m,l,21600r21600,l21600,xe">
          <v:stroke joinstyle="miter"/>
          <v:path gradientshapeok="t" o:connecttype="rect"/>
        </v:shapetype>
        <v:shape id="_x0000_s2049" type="#_x0000_t202" style="position:absolute;margin-left:408.35pt;margin-top:-4.85pt;width:74.6pt;height:25.45pt;z-index:251655168;mso-width-relative:margin;mso-height-relative:margin" stroked="f">
          <v:textbox style="mso-next-textbox:#_x0000_s2049">
            <w:txbxContent>
              <w:p w:rsidR="00CD09CD" w:rsidRDefault="00675E7F">
                <w:r>
                  <w:rPr>
                    <w:noProof/>
                    <w:lang w:eastAsia="pt-PT"/>
                  </w:rPr>
                  <w:drawing>
                    <wp:inline distT="0" distB="0" distL="0" distR="0">
                      <wp:extent cx="694646" cy="250221"/>
                      <wp:effectExtent l="19050" t="0" r="0" b="0"/>
                      <wp:docPr id="4" name="Imagem 2" descr="logo_colec_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olec_legis.jpg"/>
                              <pic:cNvPicPr/>
                            </pic:nvPicPr>
                            <pic:blipFill>
                              <a:blip r:embed="rId1"/>
                              <a:stretch>
                                <a:fillRect/>
                              </a:stretch>
                            </pic:blipFill>
                            <pic:spPr>
                              <a:xfrm>
                                <a:off x="0" y="0"/>
                                <a:ext cx="694646" cy="250221"/>
                              </a:xfrm>
                              <a:prstGeom prst="rect">
                                <a:avLst/>
                              </a:prstGeom>
                            </pic:spPr>
                          </pic:pic>
                        </a:graphicData>
                      </a:graphic>
                    </wp:inline>
                  </w:drawing>
                </w:r>
              </w:p>
            </w:txbxContent>
          </v:textbox>
        </v:shape>
      </w:pict>
    </w:r>
    <w:r>
      <w:rPr>
        <w:noProof/>
        <w:lang w:eastAsia="en-US"/>
      </w:rPr>
      <w:pict>
        <v:shape id="_x0000_s2050" type="#_x0000_t202" style="position:absolute;margin-left:-49.55pt;margin-top:-10.7pt;width:420.85pt;height:33.45pt;z-index:251656192;mso-width-relative:margin;mso-height-relative:margin;v-text-anchor:bottom" filled="f" stroked="f">
          <v:textbox style="mso-next-textbox:#_x0000_s2050">
            <w:txbxContent>
              <w:p w:rsidR="00C76BDC" w:rsidRPr="00C2686D" w:rsidRDefault="00675E7F" w:rsidP="00C2686D">
                <w:pPr>
                  <w:rPr>
                    <w:szCs w:val="18"/>
                  </w:rPr>
                </w:pPr>
                <w:r w:rsidRPr="00C2686D">
                  <w:rPr>
                    <w:b/>
                    <w:color w:val="8BB07C"/>
                    <w:sz w:val="18"/>
                    <w:szCs w:val="18"/>
                  </w:rPr>
                  <w:t>CARREIRAS E QUADRO DE PESSOAL DOS SERVIÇOS DA ASSEMBLEIA DA REPÚBLICA</w:t>
                </w:r>
              </w:p>
            </w:txbxContent>
          </v:textbox>
        </v:shape>
      </w:pict>
    </w:r>
  </w:p>
  <w:p w:rsidR="00114E2F" w:rsidRDefault="00D31F25" w:rsidP="00CD09CD">
    <w:pPr>
      <w:pStyle w:val="Cabealho"/>
      <w:tabs>
        <w:tab w:val="clear" w:pos="4252"/>
        <w:tab w:val="clear" w:pos="8504"/>
      </w:tabs>
    </w:pPr>
    <w:r>
      <w:rPr>
        <w:noProof/>
      </w:rPr>
      <w:pict>
        <v:shapetype id="_x0000_t32" coordsize="21600,21600" o:spt="32" o:oned="t" path="m,l21600,21600e" filled="f">
          <v:path arrowok="t" fillok="f" o:connecttype="none"/>
          <o:lock v:ext="edit" shapetype="t"/>
        </v:shapetype>
        <v:shape id="_x0000_s2053" type="#_x0000_t32" style="position:absolute;margin-left:-42.2pt;margin-top:10pt;width:510.25pt;height:0;z-index:251657216" o:connectortype="straight" strokecolor="gray [1629]" strokeweight=".5pt">
          <v:shadow type="perspective" color="#7f7f7f [1601]" opacity=".5" offset="1pt" offset2="-1p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077A" w:rsidRDefault="0067077A">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57"/>
    <o:shapelayout v:ext="edit">
      <o:idmap v:ext="edit" data="2"/>
      <o:rules v:ext="edit">
        <o:r id="V:Rule3" type="connector" idref="#_x0000_s2054"/>
        <o:r id="V:Rule4" type="connector" idref="#_x0000_s2053"/>
      </o:rules>
    </o:shapelayout>
  </w:hdrShapeDefaults>
  <w:footnotePr>
    <w:footnote w:id="-1"/>
    <w:footnote w:id="0"/>
  </w:footnotePr>
  <w:endnotePr>
    <w:endnote w:id="-1"/>
    <w:endnote w:id="0"/>
  </w:endnotePr>
  <w:compat>
    <w:compatSetting w:name="compatibilityMode" w:uri="http://schemas.microsoft.com/office/word" w:val="12"/>
  </w:compat>
  <w:rsids>
    <w:rsidRoot w:val="000235D5"/>
    <w:rsid w:val="000235D5"/>
    <w:rsid w:val="000601C2"/>
    <w:rsid w:val="000A0A26"/>
    <w:rsid w:val="0012099F"/>
    <w:rsid w:val="001C3D55"/>
    <w:rsid w:val="00256B18"/>
    <w:rsid w:val="00285227"/>
    <w:rsid w:val="002E0854"/>
    <w:rsid w:val="00303145"/>
    <w:rsid w:val="00312EA2"/>
    <w:rsid w:val="00376C10"/>
    <w:rsid w:val="00394EC6"/>
    <w:rsid w:val="003A0BA4"/>
    <w:rsid w:val="00417ABD"/>
    <w:rsid w:val="004B71DF"/>
    <w:rsid w:val="005057D1"/>
    <w:rsid w:val="005822B8"/>
    <w:rsid w:val="00636340"/>
    <w:rsid w:val="0067077A"/>
    <w:rsid w:val="00675E7F"/>
    <w:rsid w:val="006775ED"/>
    <w:rsid w:val="00752143"/>
    <w:rsid w:val="0079143E"/>
    <w:rsid w:val="00824A8F"/>
    <w:rsid w:val="00876C90"/>
    <w:rsid w:val="00952117"/>
    <w:rsid w:val="00A335C2"/>
    <w:rsid w:val="00A54223"/>
    <w:rsid w:val="00AA012A"/>
    <w:rsid w:val="00AD52EC"/>
    <w:rsid w:val="00AF55C8"/>
    <w:rsid w:val="00B82400"/>
    <w:rsid w:val="00BB485B"/>
    <w:rsid w:val="00BC3BA5"/>
    <w:rsid w:val="00C3167C"/>
    <w:rsid w:val="00C600DC"/>
    <w:rsid w:val="00C63F9C"/>
    <w:rsid w:val="00CB03DB"/>
    <w:rsid w:val="00D01E7E"/>
    <w:rsid w:val="00D1097F"/>
    <w:rsid w:val="00D31F25"/>
    <w:rsid w:val="00DA3F6D"/>
    <w:rsid w:val="00DC056E"/>
    <w:rsid w:val="00DD7AF6"/>
    <w:rsid w:val="00E17722"/>
    <w:rsid w:val="00E22642"/>
    <w:rsid w:val="00E74E77"/>
    <w:rsid w:val="00ED2C93"/>
    <w:rsid w:val="00F07D2E"/>
    <w:rsid w:val="00F56C63"/>
    <w:rsid w:val="00F82606"/>
    <w:rsid w:val="00F97566"/>
    <w:rsid w:val="00FA7205"/>
    <w:rsid w:val="00FB593B"/>
    <w:rsid w:val="00FC49B4"/>
    <w:rsid w:val="00FD7DB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516E41EC"/>
  <w15:docId w15:val="{7C189359-E7EC-4714-8577-553552C9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35D5"/>
    <w:pPr>
      <w:spacing w:after="-1" w:line="240" w:lineRule="auto"/>
    </w:p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0235D5"/>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CabealhoCarter">
    <w:name w:val="Cabeçalho Caráter"/>
    <w:basedOn w:val="Tipodeletrapredefinidodopargrafo"/>
    <w:link w:val="Cabealho"/>
    <w:uiPriority w:val="99"/>
    <w:rsid w:val="000235D5"/>
    <w:rPr>
      <w:rFonts w:ascii="Times New Roman" w:eastAsia="Times New Roman" w:hAnsi="Times New Roman" w:cs="Times New Roman"/>
      <w:sz w:val="24"/>
      <w:szCs w:val="24"/>
      <w:lang w:eastAsia="pt-PT"/>
    </w:rPr>
  </w:style>
  <w:style w:type="paragraph" w:styleId="Rodap">
    <w:name w:val="footer"/>
    <w:basedOn w:val="Normal"/>
    <w:link w:val="RodapCarter"/>
    <w:uiPriority w:val="99"/>
    <w:unhideWhenUsed/>
    <w:rsid w:val="000235D5"/>
    <w:pPr>
      <w:tabs>
        <w:tab w:val="center" w:pos="4252"/>
        <w:tab w:val="right" w:pos="8504"/>
      </w:tabs>
      <w:spacing w:after="0"/>
    </w:pPr>
    <w:rPr>
      <w:rFonts w:ascii="Times New Roman" w:eastAsia="Times New Roman" w:hAnsi="Times New Roman" w:cs="Times New Roman"/>
      <w:sz w:val="24"/>
      <w:szCs w:val="24"/>
      <w:lang w:eastAsia="pt-PT"/>
    </w:rPr>
  </w:style>
  <w:style w:type="character" w:customStyle="1" w:styleId="RodapCarter">
    <w:name w:val="Rodapé Caráter"/>
    <w:basedOn w:val="Tipodeletrapredefinidodopargrafo"/>
    <w:link w:val="Rodap"/>
    <w:uiPriority w:val="99"/>
    <w:rsid w:val="000235D5"/>
    <w:rPr>
      <w:rFonts w:ascii="Times New Roman" w:eastAsia="Times New Roman" w:hAnsi="Times New Roman" w:cs="Times New Roman"/>
      <w:sz w:val="24"/>
      <w:szCs w:val="24"/>
      <w:lang w:eastAsia="pt-PT"/>
    </w:rPr>
  </w:style>
  <w:style w:type="character" w:customStyle="1" w:styleId="TextodenotaderodapCarter">
    <w:name w:val="Texto de nota de rodapé Caráter"/>
    <w:basedOn w:val="Tipodeletrapredefinidodopargrafo"/>
    <w:link w:val="Textodenotaderodap"/>
    <w:uiPriority w:val="99"/>
    <w:rsid w:val="000235D5"/>
    <w:rPr>
      <w:rFonts w:ascii="Times New Roman" w:eastAsia="Times New Roman" w:hAnsi="Times New Roman" w:cs="Times New Roman"/>
      <w:sz w:val="20"/>
      <w:szCs w:val="20"/>
      <w:lang w:eastAsia="pt-PT"/>
    </w:rPr>
  </w:style>
  <w:style w:type="paragraph" w:styleId="Textodenotaderodap">
    <w:name w:val="footnote text"/>
    <w:basedOn w:val="Normal"/>
    <w:link w:val="TextodenotaderodapCarter"/>
    <w:uiPriority w:val="99"/>
    <w:unhideWhenUsed/>
    <w:rsid w:val="000235D5"/>
    <w:pPr>
      <w:spacing w:after="0"/>
    </w:pPr>
    <w:rPr>
      <w:rFonts w:ascii="Times New Roman" w:eastAsia="Times New Roman" w:hAnsi="Times New Roman" w:cs="Times New Roman"/>
      <w:sz w:val="20"/>
      <w:szCs w:val="20"/>
      <w:lang w:eastAsia="pt-PT"/>
    </w:rPr>
  </w:style>
  <w:style w:type="character" w:customStyle="1" w:styleId="TextodenotaderodapCarcter1">
    <w:name w:val="Texto de nota de rodapé Carácter1"/>
    <w:basedOn w:val="Tipodeletrapredefinidodopargrafo"/>
    <w:uiPriority w:val="99"/>
    <w:semiHidden/>
    <w:rsid w:val="000235D5"/>
    <w:rPr>
      <w:sz w:val="20"/>
      <w:szCs w:val="20"/>
    </w:rPr>
  </w:style>
  <w:style w:type="character" w:styleId="Refdenotaderodap">
    <w:name w:val="footnote reference"/>
    <w:basedOn w:val="Tipodeletrapredefinidodopargrafo"/>
    <w:uiPriority w:val="99"/>
    <w:semiHidden/>
    <w:unhideWhenUsed/>
    <w:rsid w:val="000235D5"/>
    <w:rPr>
      <w:vertAlign w:val="superscript"/>
    </w:rPr>
  </w:style>
  <w:style w:type="paragraph" w:customStyle="1" w:styleId="TtuloPublicaesDILP">
    <w:name w:val="Título Publicações DILP"/>
    <w:basedOn w:val="Normal"/>
    <w:link w:val="TtuloPublicaesDILPCarcter"/>
    <w:qFormat/>
    <w:rsid w:val="000235D5"/>
    <w:pPr>
      <w:widowControl w:val="0"/>
      <w:spacing w:before="100" w:after="0" w:line="276" w:lineRule="auto"/>
    </w:pPr>
    <w:rPr>
      <w:rFonts w:eastAsia="Times New Roman" w:cs="Arial"/>
      <w:b/>
      <w:bCs/>
      <w:color w:val="008ECA"/>
      <w:sz w:val="72"/>
      <w:szCs w:val="72"/>
      <w:lang w:eastAsia="pt-PT"/>
    </w:rPr>
  </w:style>
  <w:style w:type="character" w:customStyle="1" w:styleId="TtuloPublicaesDILPCarcter">
    <w:name w:val="Título Publicações DILP Carácter"/>
    <w:basedOn w:val="Tipodeletrapredefinidodopargrafo"/>
    <w:link w:val="TtuloPublicaesDILP"/>
    <w:rsid w:val="000235D5"/>
    <w:rPr>
      <w:rFonts w:eastAsia="Times New Roman" w:cs="Arial"/>
      <w:b/>
      <w:bCs/>
      <w:color w:val="008ECA"/>
      <w:sz w:val="72"/>
      <w:szCs w:val="72"/>
      <w:lang w:eastAsia="pt-PT"/>
    </w:rPr>
  </w:style>
  <w:style w:type="character" w:styleId="Hiperligao">
    <w:name w:val="Hyperlink"/>
    <w:basedOn w:val="Tipodeletrapredefinidodopargrafo"/>
    <w:uiPriority w:val="99"/>
    <w:unhideWhenUsed/>
    <w:rsid w:val="000235D5"/>
    <w:rPr>
      <w:color w:val="0000FF" w:themeColor="hyperlink"/>
      <w:u w:val="single"/>
    </w:rPr>
  </w:style>
  <w:style w:type="paragraph" w:styleId="Textodebalo">
    <w:name w:val="Balloon Text"/>
    <w:basedOn w:val="Normal"/>
    <w:link w:val="TextodebaloCarter"/>
    <w:uiPriority w:val="99"/>
    <w:semiHidden/>
    <w:unhideWhenUsed/>
    <w:rsid w:val="000235D5"/>
    <w:pPr>
      <w:spacing w:after="0"/>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0235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e.pt/application/file/a/495424" TargetMode="External"/><Relationship Id="rId13" Type="http://schemas.openxmlformats.org/officeDocument/2006/relationships/hyperlink" Target="http://www.parlamento.pt/ActividadeParlamentar/Paginas/DetalheIniciativa.aspx?BID=5756" TargetMode="External"/><Relationship Id="rId18" Type="http://schemas.openxmlformats.org/officeDocument/2006/relationships/hyperlink" Target="https://dre.pt/application/file/a/579398" TargetMode="External"/><Relationship Id="rId26"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image" Target="media/image2.emf"/><Relationship Id="rId7" Type="http://schemas.openxmlformats.org/officeDocument/2006/relationships/hyperlink" Target="http://www.parlamento.pt/ActividadeParlamentar/Paginas/DetalheIniciativa.aspx?BID=5325" TargetMode="External"/><Relationship Id="rId12" Type="http://schemas.openxmlformats.org/officeDocument/2006/relationships/hyperlink" Target="https://dre.pt/application/file/a/386302" TargetMode="External"/><Relationship Id="rId17" Type="http://schemas.openxmlformats.org/officeDocument/2006/relationships/hyperlink" Target="http://www.parlamento.pt/ActividadeParlamentar/Paginas/DetalheIniciativa.aspx?BID=19559" TargetMode="External"/><Relationship Id="rId25"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s://dre.pt/application/file/a/651628" TargetMode="External"/><Relationship Id="rId20" Type="http://schemas.openxmlformats.org/officeDocument/2006/relationships/image" Target="media/image1.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re.pt/application/file/a/199073" TargetMode="External"/><Relationship Id="rId11" Type="http://schemas.openxmlformats.org/officeDocument/2006/relationships/hyperlink" Target="https://dre.pt/application/file/a/479359"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www.parlamento.pt/ActividadeParlamentar/Paginas/DetalheIniciativa.aspx?BID=19722"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parlamento.pt/ActividadeParlamentar/Paginas/DetalheIniciativa.aspx?BID=4834" TargetMode="External"/><Relationship Id="rId19" Type="http://schemas.openxmlformats.org/officeDocument/2006/relationships/hyperlink" Target="http://www.parlamento.pt/ActividadeParlamentar/Paginas/DetalheIniciativa.aspx?BID=20065" TargetMode="External"/><Relationship Id="rId4" Type="http://schemas.openxmlformats.org/officeDocument/2006/relationships/footnotes" Target="footnotes.xml"/><Relationship Id="rId9" Type="http://schemas.openxmlformats.org/officeDocument/2006/relationships/hyperlink" Target="https://dre.pt/application/file/a/197425" TargetMode="External"/><Relationship Id="rId14" Type="http://schemas.openxmlformats.org/officeDocument/2006/relationships/hyperlink" Target="https://dre.pt/application/file/a/650575"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2295</Words>
  <Characters>12398</Characters>
  <Application>Microsoft Office Word</Application>
  <DocSecurity>0</DocSecurity>
  <Lines>103</Lines>
  <Paragraphs>29</Paragraphs>
  <ScaleCrop>false</ScaleCrop>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mrleitao</dc:creator>
  <cp:lastModifiedBy>Maria Leitão</cp:lastModifiedBy>
  <cp:revision>4</cp:revision>
  <dcterms:created xsi:type="dcterms:W3CDTF">2016-04-29T10:06:00Z</dcterms:created>
  <dcterms:modified xsi:type="dcterms:W3CDTF">2018-04-18T09:36:00Z</dcterms:modified>
</cp:coreProperties>
</file>